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962" w:rsidRDefault="00072410" w:rsidP="0092692B">
      <w:pPr>
        <w:pStyle w:val="BodyText"/>
        <w:tabs>
          <w:tab w:val="left" w:pos="1701"/>
        </w:tabs>
      </w:pPr>
      <w:r>
        <w:t>t</w:t>
      </w:r>
      <w:r w:rsidR="009831C0">
        <w:t>e-NAV</w:t>
      </w:r>
      <w:r w:rsidR="00B20031">
        <w:t>1</w:t>
      </w:r>
      <w:r w:rsidR="00A5104C">
        <w:t>6</w:t>
      </w:r>
      <w:r w:rsidR="0092692B">
        <w:tab/>
      </w:r>
      <w:r w:rsidR="001C44A3">
        <w:t xml:space="preserve">Input </w:t>
      </w:r>
    </w:p>
    <w:p w:rsidR="00A446C9" w:rsidRDefault="00A446C9" w:rsidP="00362CD9">
      <w:pPr>
        <w:pStyle w:val="BodyText"/>
        <w:tabs>
          <w:tab w:val="left" w:pos="1701"/>
        </w:tabs>
      </w:pPr>
      <w:r>
        <w:t>Agenda item</w:t>
      </w:r>
      <w:r w:rsidR="001C44A3">
        <w:tab/>
      </w:r>
      <w:r w:rsidR="00421F10">
        <w:t>9</w:t>
      </w:r>
    </w:p>
    <w:p w:rsidR="00A446C9" w:rsidRDefault="00A446C9" w:rsidP="00362CD9">
      <w:pPr>
        <w:pStyle w:val="BodyText"/>
        <w:tabs>
          <w:tab w:val="left" w:pos="1701"/>
        </w:tabs>
      </w:pPr>
      <w:r>
        <w:t>Task Number</w:t>
      </w:r>
      <w:r w:rsidR="001C44A3">
        <w:tab/>
      </w:r>
      <w:r w:rsidR="00421F10" w:rsidRPr="00071BDC">
        <w:t>5.1.18</w:t>
      </w:r>
    </w:p>
    <w:p w:rsidR="00362CD9" w:rsidRDefault="00362CD9" w:rsidP="00362CD9">
      <w:pPr>
        <w:pStyle w:val="BodyText"/>
        <w:tabs>
          <w:tab w:val="left" w:pos="1701"/>
        </w:tabs>
      </w:pPr>
      <w:r>
        <w:t>Author(s)</w:t>
      </w:r>
      <w:r>
        <w:tab/>
      </w:r>
      <w:r w:rsidR="00A5104C">
        <w:t>Jan-Hendrik Oltmann for the CSSA Correspondence Group</w:t>
      </w:r>
    </w:p>
    <w:p w:rsidR="00A5104C" w:rsidRDefault="00A5104C" w:rsidP="00362CD9">
      <w:pPr>
        <w:pStyle w:val="BodyText"/>
        <w:tabs>
          <w:tab w:val="left" w:pos="1701"/>
        </w:tabs>
      </w:pPr>
    </w:p>
    <w:p w:rsidR="00A446C9" w:rsidRDefault="00642D6E" w:rsidP="00A446C9">
      <w:pPr>
        <w:pStyle w:val="Title"/>
      </w:pPr>
      <w:r>
        <w:t xml:space="preserve">Report </w:t>
      </w:r>
      <w:r w:rsidR="00A5104C">
        <w:t xml:space="preserve">to ENAV16 related to the </w:t>
      </w:r>
      <w:r>
        <w:t xml:space="preserve">work of the CSSA Correspondence Group regarding </w:t>
      </w:r>
      <w:r w:rsidR="00A5104C">
        <w:t>shore infrastructure ‘fit for e-Navigation’ and the Common Shore-based System Architecture</w:t>
      </w:r>
    </w:p>
    <w:p w:rsidR="00A446C9" w:rsidRDefault="00A446C9" w:rsidP="00A446C9">
      <w:pPr>
        <w:pStyle w:val="Heading1"/>
      </w:pPr>
      <w:r>
        <w:t>Summary</w:t>
      </w:r>
    </w:p>
    <w:p w:rsidR="00B56BDF" w:rsidRDefault="00F53663" w:rsidP="00B56BDF">
      <w:pPr>
        <w:pStyle w:val="BodyText"/>
      </w:pPr>
      <w:r>
        <w:t xml:space="preserve">This input document to ENAV16 </w:t>
      </w:r>
      <w:r w:rsidR="00421F10">
        <w:t xml:space="preserve">summarises </w:t>
      </w:r>
      <w:r>
        <w:t xml:space="preserve">the work done by the CSSA Correspondence Group intersessionally between ENAV15 and ENAV16 on several IALA documents related to a shore infrastructure ‘fit for e-Navigation’ and to the Common Shore-based System Architecture (CSSA). </w:t>
      </w:r>
    </w:p>
    <w:p w:rsidR="001C44A3" w:rsidRDefault="00BD4E6F" w:rsidP="00B56BDF">
      <w:pPr>
        <w:pStyle w:val="Heading2"/>
      </w:pPr>
      <w:r>
        <w:t>Purpose</w:t>
      </w:r>
      <w:r w:rsidR="004D1D85">
        <w:t xml:space="preserve"> of the document</w:t>
      </w:r>
    </w:p>
    <w:p w:rsidR="00E55927" w:rsidRPr="00B56BDF" w:rsidRDefault="00F53663" w:rsidP="00E55927">
      <w:pPr>
        <w:pStyle w:val="BodyText"/>
      </w:pPr>
      <w:r>
        <w:t xml:space="preserve">It is the intent of this document to provide a summary of the </w:t>
      </w:r>
      <w:r w:rsidR="00421F10">
        <w:t xml:space="preserve">work carried out intersessionally by the CSSA Correspondence Group, leading to the </w:t>
      </w:r>
      <w:r>
        <w:t xml:space="preserve">ENAV16 input documents. </w:t>
      </w:r>
      <w:r w:rsidR="00AF3915">
        <w:t>The</w:t>
      </w:r>
      <w:r>
        <w:t xml:space="preserve"> CSSA Correspondence Group considers </w:t>
      </w:r>
      <w:r w:rsidR="00946123">
        <w:t xml:space="preserve">some of </w:t>
      </w:r>
      <w:r>
        <w:t>the referenced input documents mature</w:t>
      </w:r>
      <w:r w:rsidR="00946123">
        <w:t xml:space="preserve"> for submission to Council as indicated.</w:t>
      </w:r>
    </w:p>
    <w:p w:rsidR="00B56BDF" w:rsidRDefault="00B56BDF" w:rsidP="00B56BDF">
      <w:pPr>
        <w:pStyle w:val="Heading2"/>
      </w:pPr>
      <w:r>
        <w:t>Related documents</w:t>
      </w:r>
    </w:p>
    <w:p w:rsidR="00E55927" w:rsidRDefault="00946123" w:rsidP="00E55927">
      <w:pPr>
        <w:pStyle w:val="BodyText"/>
      </w:pPr>
      <w:r>
        <w:t>This covering letter refers to the following input documents</w:t>
      </w:r>
      <w:r w:rsidR="00642D6E">
        <w:t xml:space="preserve"> to ENAV16</w:t>
      </w:r>
      <w:r>
        <w:t>:</w:t>
      </w:r>
    </w:p>
    <w:p w:rsidR="00946123" w:rsidRPr="00946123" w:rsidRDefault="00946123" w:rsidP="00946123">
      <w:pPr>
        <w:numPr>
          <w:ilvl w:val="0"/>
          <w:numId w:val="43"/>
        </w:numPr>
        <w:rPr>
          <w:rFonts w:eastAsia="Times New Roman"/>
          <w:color w:val="000000"/>
          <w:lang w:eastAsia="en-IE"/>
        </w:rPr>
      </w:pPr>
      <w:r>
        <w:t>ENAV16-</w:t>
      </w:r>
      <w:r w:rsidR="00997328">
        <w:t>9.14</w:t>
      </w:r>
      <w:r>
        <w:t xml:space="preserve">: Draft Revision of IALA Recommendation e-NAV 140 on the Architecture for the Shore-based </w:t>
      </w:r>
      <w:r w:rsidRPr="00946123">
        <w:rPr>
          <w:rFonts w:eastAsia="Times New Roman"/>
          <w:color w:val="000000"/>
          <w:lang w:eastAsia="en-IE"/>
        </w:rPr>
        <w:t>Infrastructure ‘fit for e-Navigation’ (Ed. 2: 2015)</w:t>
      </w:r>
      <w:r>
        <w:rPr>
          <w:rFonts w:eastAsia="Times New Roman"/>
          <w:color w:val="000000"/>
          <w:lang w:eastAsia="en-IE"/>
        </w:rPr>
        <w:t>;</w:t>
      </w:r>
      <w:r>
        <w:rPr>
          <w:rFonts w:eastAsia="Times New Roman"/>
          <w:color w:val="000000"/>
          <w:lang w:eastAsia="en-IE"/>
        </w:rPr>
        <w:br/>
      </w:r>
    </w:p>
    <w:p w:rsidR="00946123" w:rsidRDefault="00946123" w:rsidP="00946123">
      <w:pPr>
        <w:numPr>
          <w:ilvl w:val="0"/>
          <w:numId w:val="43"/>
        </w:numPr>
        <w:rPr>
          <w:rFonts w:eastAsia="Times New Roman"/>
          <w:color w:val="000000"/>
          <w:lang w:eastAsia="en-IE"/>
        </w:rPr>
      </w:pPr>
      <w:r>
        <w:t>ENAV16-</w:t>
      </w:r>
      <w:r w:rsidR="00997328">
        <w:t>9.15</w:t>
      </w:r>
      <w:r>
        <w:t xml:space="preserve">: Draft </w:t>
      </w:r>
      <w:r w:rsidRPr="00946123">
        <w:rPr>
          <w:rFonts w:eastAsia="Times New Roman"/>
          <w:color w:val="000000"/>
          <w:lang w:eastAsia="en-IE"/>
        </w:rPr>
        <w:t>IALA Guideline [&lt;No x&gt;] on Design and Implementation Principles for harmonized System Architectures of Shore-based Infrastructure</w:t>
      </w:r>
      <w:r>
        <w:rPr>
          <w:rFonts w:eastAsia="Times New Roman"/>
          <w:color w:val="000000"/>
          <w:lang w:eastAsia="en-IE"/>
        </w:rPr>
        <w:t>;</w:t>
      </w:r>
    </w:p>
    <w:p w:rsidR="00946123" w:rsidRPr="00946123" w:rsidRDefault="00946123" w:rsidP="00946123">
      <w:pPr>
        <w:ind w:left="720"/>
        <w:rPr>
          <w:rFonts w:eastAsia="Times New Roman"/>
          <w:color w:val="000000"/>
          <w:lang w:eastAsia="en-IE"/>
        </w:rPr>
      </w:pPr>
    </w:p>
    <w:p w:rsidR="00946123" w:rsidRPr="00946123" w:rsidRDefault="00946123" w:rsidP="00946123">
      <w:pPr>
        <w:pStyle w:val="BodyText"/>
        <w:numPr>
          <w:ilvl w:val="0"/>
          <w:numId w:val="43"/>
        </w:numPr>
      </w:pPr>
      <w:r>
        <w:t>ENAV16-</w:t>
      </w:r>
      <w:r w:rsidR="00997328">
        <w:t>9.16</w:t>
      </w:r>
      <w:r>
        <w:t xml:space="preserve">: Draft </w:t>
      </w:r>
      <w:r w:rsidRPr="00946123">
        <w:rPr>
          <w:rFonts w:eastAsia="Times New Roman"/>
          <w:color w:val="000000"/>
          <w:lang w:eastAsia="en-IE"/>
        </w:rPr>
        <w:t xml:space="preserve">IALA Guideline </w:t>
      </w:r>
      <w:r>
        <w:rPr>
          <w:rFonts w:eastAsia="Times New Roman"/>
          <w:color w:val="000000"/>
          <w:lang w:eastAsia="en-IE"/>
        </w:rPr>
        <w:t xml:space="preserve">[&lt;No </w:t>
      </w:r>
      <w:r w:rsidRPr="00946123">
        <w:rPr>
          <w:rFonts w:eastAsia="Times New Roman"/>
          <w:color w:val="000000"/>
          <w:lang w:eastAsia="en-IE"/>
        </w:rPr>
        <w:t>x+1&gt;] on a Technical Specification for the Common Shore-based System Architecture (CSSA)</w:t>
      </w:r>
      <w:r>
        <w:rPr>
          <w:rFonts w:eastAsia="Times New Roman"/>
          <w:color w:val="000000"/>
          <w:lang w:eastAsia="en-IE"/>
        </w:rPr>
        <w:t>;</w:t>
      </w:r>
    </w:p>
    <w:p w:rsidR="00946123" w:rsidRPr="00946123" w:rsidRDefault="00946123" w:rsidP="00946123">
      <w:pPr>
        <w:pStyle w:val="BodyText"/>
        <w:numPr>
          <w:ilvl w:val="0"/>
          <w:numId w:val="43"/>
        </w:numPr>
      </w:pPr>
      <w:r>
        <w:rPr>
          <w:rFonts w:eastAsia="Times New Roman"/>
          <w:color w:val="000000"/>
          <w:lang w:eastAsia="en-IE"/>
        </w:rPr>
        <w:t>ENAV16-</w:t>
      </w:r>
      <w:r w:rsidR="00997328">
        <w:rPr>
          <w:rFonts w:eastAsia="Times New Roman"/>
          <w:color w:val="000000"/>
          <w:lang w:eastAsia="en-IE"/>
        </w:rPr>
        <w:t>9.17</w:t>
      </w:r>
      <w:r>
        <w:rPr>
          <w:rFonts w:eastAsia="Times New Roman"/>
          <w:color w:val="000000"/>
          <w:lang w:eastAsia="en-IE"/>
        </w:rPr>
        <w:t xml:space="preserve">: </w:t>
      </w:r>
      <w:r w:rsidRPr="00946123">
        <w:rPr>
          <w:rFonts w:eastAsia="Times New Roman"/>
          <w:color w:val="000000"/>
          <w:lang w:eastAsia="en-IE"/>
        </w:rPr>
        <w:t>Draft IALA Guideline [&lt;No x+2&gt;] on a Technical Specification for a CSSA Ge</w:t>
      </w:r>
      <w:r>
        <w:rPr>
          <w:rFonts w:eastAsia="Times New Roman"/>
          <w:color w:val="000000"/>
          <w:lang w:eastAsia="en-IE"/>
        </w:rPr>
        <w:t>neric Service Engineering Model</w:t>
      </w:r>
      <w:r w:rsidRPr="00946123">
        <w:rPr>
          <w:rFonts w:eastAsia="Times New Roman"/>
          <w:color w:val="000000"/>
          <w:lang w:eastAsia="en-IE"/>
        </w:rPr>
        <w:t>; main body</w:t>
      </w:r>
      <w:r>
        <w:rPr>
          <w:rFonts w:eastAsia="Times New Roman"/>
          <w:color w:val="000000"/>
          <w:lang w:eastAsia="en-IE"/>
        </w:rPr>
        <w:t xml:space="preserve"> and (ENAV16-</w:t>
      </w:r>
      <w:r w:rsidR="00997328">
        <w:rPr>
          <w:rFonts w:eastAsia="Times New Roman"/>
          <w:color w:val="000000"/>
          <w:lang w:eastAsia="en-IE"/>
        </w:rPr>
        <w:t>9.18</w:t>
      </w:r>
      <w:r>
        <w:rPr>
          <w:rFonts w:eastAsia="Times New Roman"/>
          <w:color w:val="000000"/>
          <w:lang w:eastAsia="en-IE"/>
        </w:rPr>
        <w:t>)</w:t>
      </w:r>
      <w:r w:rsidR="00997328" w:rsidRPr="00997328">
        <w:rPr>
          <w:rFonts w:eastAsia="Times New Roman"/>
          <w:color w:val="000000"/>
          <w:lang w:eastAsia="en-IE"/>
        </w:rPr>
        <w:t xml:space="preserve"> </w:t>
      </w:r>
      <w:r w:rsidR="00997328">
        <w:rPr>
          <w:rFonts w:eastAsia="Times New Roman"/>
          <w:color w:val="000000"/>
          <w:lang w:eastAsia="en-IE"/>
        </w:rPr>
        <w:t>appendices;</w:t>
      </w:r>
    </w:p>
    <w:p w:rsidR="00946123" w:rsidRPr="00946123" w:rsidRDefault="00946123" w:rsidP="00946123">
      <w:pPr>
        <w:pStyle w:val="BodyText"/>
        <w:numPr>
          <w:ilvl w:val="0"/>
          <w:numId w:val="43"/>
        </w:numPr>
      </w:pPr>
      <w:r>
        <w:rPr>
          <w:rFonts w:eastAsia="Times New Roman"/>
          <w:color w:val="000000"/>
          <w:lang w:eastAsia="en-IE"/>
        </w:rPr>
        <w:t>ENAV16-</w:t>
      </w:r>
      <w:r w:rsidR="00997328">
        <w:rPr>
          <w:rFonts w:eastAsia="Times New Roman"/>
          <w:color w:val="000000"/>
          <w:lang w:eastAsia="en-IE"/>
        </w:rPr>
        <w:t>9.19</w:t>
      </w:r>
      <w:r>
        <w:rPr>
          <w:rFonts w:eastAsia="Times New Roman"/>
          <w:color w:val="000000"/>
          <w:lang w:eastAsia="en-IE"/>
        </w:rPr>
        <w:t xml:space="preserve">: </w:t>
      </w:r>
      <w:r w:rsidRPr="00946123">
        <w:rPr>
          <w:rFonts w:eastAsia="Times New Roman"/>
          <w:color w:val="000000"/>
          <w:lang w:eastAsia="en-IE"/>
        </w:rPr>
        <w:t>CSSA Generic Service Model Workplan</w:t>
      </w:r>
    </w:p>
    <w:p w:rsidR="00946123" w:rsidRDefault="00946123" w:rsidP="00946123">
      <w:pPr>
        <w:numPr>
          <w:ilvl w:val="0"/>
          <w:numId w:val="43"/>
        </w:numPr>
        <w:rPr>
          <w:rFonts w:eastAsia="Times New Roman"/>
          <w:color w:val="000000"/>
          <w:lang w:eastAsia="en-IE"/>
        </w:rPr>
      </w:pPr>
      <w:r>
        <w:t>ENAV16-</w:t>
      </w:r>
      <w:r w:rsidR="00997328">
        <w:t>9.20</w:t>
      </w:r>
      <w:r>
        <w:t xml:space="preserve">: </w:t>
      </w:r>
      <w:r w:rsidRPr="00946123">
        <w:rPr>
          <w:rFonts w:eastAsia="Times New Roman"/>
          <w:color w:val="000000"/>
          <w:lang w:eastAsia="en-IE"/>
        </w:rPr>
        <w:t>Draft IALA Guideline [&lt;No x+3&gt;] on M2M Interfacing within the Common Shore-based System (CSS)</w:t>
      </w:r>
    </w:p>
    <w:p w:rsidR="00946123" w:rsidRDefault="00946123" w:rsidP="00946123">
      <w:pPr>
        <w:rPr>
          <w:rFonts w:eastAsia="Times New Roman"/>
          <w:color w:val="000000"/>
          <w:lang w:eastAsia="en-IE"/>
        </w:rPr>
      </w:pPr>
    </w:p>
    <w:p w:rsidR="00946123" w:rsidRPr="00946123" w:rsidRDefault="00946123" w:rsidP="00946123">
      <w:pPr>
        <w:rPr>
          <w:rFonts w:eastAsia="Times New Roman"/>
          <w:color w:val="000000"/>
          <w:lang w:eastAsia="en-IE"/>
        </w:rPr>
      </w:pPr>
      <w:r>
        <w:rPr>
          <w:rFonts w:eastAsia="Times New Roman"/>
          <w:color w:val="000000"/>
          <w:lang w:eastAsia="en-IE"/>
        </w:rPr>
        <w:t>Note that the numbers of the IALA Guidelines (&lt;No x&gt;, &lt;No x+…&gt;) would be assigned by Secretariat as soon as the IALA Guideline would have been approved by Council.</w:t>
      </w:r>
    </w:p>
    <w:p w:rsidR="00946123" w:rsidRPr="00946123" w:rsidRDefault="00946123" w:rsidP="00946123">
      <w:pPr>
        <w:pStyle w:val="BodyText"/>
      </w:pPr>
    </w:p>
    <w:p w:rsidR="00A446C9" w:rsidRPr="00A44FDB" w:rsidRDefault="00A446C9" w:rsidP="00A446C9">
      <w:pPr>
        <w:pStyle w:val="Heading1"/>
      </w:pPr>
      <w:r w:rsidRPr="00A44FDB">
        <w:t>Background</w:t>
      </w:r>
    </w:p>
    <w:p w:rsidR="00A44FDB" w:rsidRDefault="00DC55EA" w:rsidP="00A446C9">
      <w:pPr>
        <w:pStyle w:val="BodyText"/>
        <w:sectPr w:rsidR="00A44FDB" w:rsidSect="0082480E">
          <w:headerReference w:type="default" r:id="rId8"/>
          <w:footerReference w:type="default" r:id="rId9"/>
          <w:pgSz w:w="11906" w:h="16838"/>
          <w:pgMar w:top="1134" w:right="1134" w:bottom="1134" w:left="1134" w:header="709" w:footer="709" w:gutter="0"/>
          <w:cols w:space="708"/>
          <w:docGrid w:linePitch="360"/>
        </w:sectPr>
      </w:pPr>
      <w:r w:rsidRPr="00A44FDB">
        <w:t>Following ENAV15, a CSSA Correspondence Group, chaired by Jan-Hendrik Oltmann, reviewed and updated CSSA working pa</w:t>
      </w:r>
      <w:r w:rsidR="00A44FDB" w:rsidRPr="00A44FDB">
        <w:t xml:space="preserve">pers from ENAV15 as summarised in </w:t>
      </w:r>
      <w:r w:rsidR="00A44FDB">
        <w:fldChar w:fldCharType="begin"/>
      </w:r>
      <w:r w:rsidR="00A44FDB">
        <w:instrText xml:space="preserve"> REF _Ref413247649 \r \h </w:instrText>
      </w:r>
      <w:r w:rsidR="00A44FDB">
        <w:fldChar w:fldCharType="separate"/>
      </w:r>
      <w:r w:rsidR="00A44FDB">
        <w:t>Table 1</w:t>
      </w:r>
      <w:r w:rsidR="00A44FDB">
        <w:fldChar w:fldCharType="end"/>
      </w:r>
      <w:r w:rsidR="00A44FDB">
        <w:t>.</w:t>
      </w:r>
    </w:p>
    <w:p w:rsidR="00A44FDB" w:rsidRDefault="00A44FDB" w:rsidP="00071BDC">
      <w:pPr>
        <w:pStyle w:val="Table"/>
      </w:pPr>
      <w:bookmarkStart w:id="0" w:name="_Ref413247649"/>
      <w:r>
        <w:lastRenderedPageBreak/>
        <w:t>Summary of CSSA Correspondence Group work on ENAV15 working papers</w:t>
      </w:r>
      <w:bookmarkEnd w:id="0"/>
    </w:p>
    <w:tbl>
      <w:tblPr>
        <w:tblW w:w="5000" w:type="pct"/>
        <w:tblLayout w:type="fixed"/>
        <w:tblLook w:val="04A0" w:firstRow="1" w:lastRow="0" w:firstColumn="1" w:lastColumn="0" w:noHBand="0" w:noVBand="1"/>
      </w:tblPr>
      <w:tblGrid>
        <w:gridCol w:w="1516"/>
        <w:gridCol w:w="1065"/>
        <w:gridCol w:w="4022"/>
        <w:gridCol w:w="5743"/>
        <w:gridCol w:w="751"/>
        <w:gridCol w:w="1689"/>
      </w:tblGrid>
      <w:tr w:rsidR="00E92DD2" w:rsidRPr="00F17A05" w:rsidTr="00071BDC">
        <w:trPr>
          <w:trHeight w:val="479"/>
          <w:tblHeader/>
        </w:trPr>
        <w:tc>
          <w:tcPr>
            <w:tcW w:w="873" w:type="pct"/>
            <w:gridSpan w:val="2"/>
            <w:tcBorders>
              <w:top w:val="single" w:sz="4" w:space="0" w:color="auto"/>
              <w:left w:val="single" w:sz="4" w:space="0" w:color="auto"/>
              <w:bottom w:val="thickThinSmallGap" w:sz="24" w:space="0" w:color="auto"/>
              <w:right w:val="single" w:sz="4" w:space="0" w:color="auto"/>
            </w:tcBorders>
            <w:shd w:val="clear" w:color="auto" w:fill="auto"/>
            <w:noWrap/>
            <w:vAlign w:val="center"/>
          </w:tcPr>
          <w:p w:rsidR="00E92DD2" w:rsidRPr="00A44FDB" w:rsidRDefault="00E92DD2" w:rsidP="008C0B03">
            <w:pPr>
              <w:jc w:val="center"/>
            </w:pPr>
            <w:r w:rsidRPr="00A44FDB">
              <w:t xml:space="preserve">ENAV15 Working </w:t>
            </w:r>
          </w:p>
          <w:p w:rsidR="00E92DD2" w:rsidRPr="00A44FDB" w:rsidRDefault="00E92DD2" w:rsidP="008C0B03">
            <w:pPr>
              <w:jc w:val="center"/>
              <w:rPr>
                <w:rFonts w:eastAsia="Times New Roman"/>
                <w:color w:val="000000"/>
                <w:lang w:eastAsia="en-IE"/>
              </w:rPr>
            </w:pPr>
            <w:r w:rsidRPr="00A44FDB">
              <w:t>Paper Number</w:t>
            </w:r>
          </w:p>
        </w:tc>
        <w:tc>
          <w:tcPr>
            <w:tcW w:w="1360" w:type="pct"/>
            <w:tcBorders>
              <w:top w:val="single" w:sz="4" w:space="0" w:color="auto"/>
              <w:left w:val="nil"/>
              <w:bottom w:val="thickThinSmallGap" w:sz="24" w:space="0" w:color="auto"/>
              <w:right w:val="single" w:sz="4" w:space="0" w:color="auto"/>
            </w:tcBorders>
            <w:shd w:val="clear" w:color="auto" w:fill="auto"/>
            <w:vAlign w:val="center"/>
          </w:tcPr>
          <w:p w:rsidR="00E92DD2" w:rsidRPr="00A44FDB" w:rsidRDefault="00E92DD2" w:rsidP="008C0B03">
            <w:pPr>
              <w:jc w:val="center"/>
              <w:rPr>
                <w:rFonts w:eastAsia="Times New Roman"/>
                <w:color w:val="000000"/>
                <w:lang w:eastAsia="en-IE"/>
              </w:rPr>
            </w:pPr>
            <w:r w:rsidRPr="00A44FDB">
              <w:t>Title</w:t>
            </w:r>
          </w:p>
        </w:tc>
        <w:tc>
          <w:tcPr>
            <w:tcW w:w="1942" w:type="pct"/>
            <w:tcBorders>
              <w:top w:val="single" w:sz="4" w:space="0" w:color="auto"/>
              <w:left w:val="nil"/>
              <w:bottom w:val="thickThinSmallGap" w:sz="24" w:space="0" w:color="auto"/>
              <w:right w:val="nil"/>
            </w:tcBorders>
          </w:tcPr>
          <w:p w:rsidR="00E92DD2" w:rsidRDefault="00E92DD2" w:rsidP="008C0B03">
            <w:pPr>
              <w:jc w:val="center"/>
            </w:pPr>
            <w:r w:rsidRPr="00A44FDB">
              <w:t>Work</w:t>
            </w:r>
            <w:r>
              <w:t xml:space="preserve"> by CSSA Correspondence Group</w:t>
            </w:r>
          </w:p>
          <w:p w:rsidR="00E92DD2" w:rsidRPr="00A44FDB" w:rsidRDefault="00E92DD2" w:rsidP="008C0B03">
            <w:pPr>
              <w:jc w:val="center"/>
            </w:pPr>
            <w:r>
              <w:t xml:space="preserve"> in</w:t>
            </w:r>
            <w:r w:rsidRPr="00A44FDB">
              <w:t>tersessionally</w:t>
            </w:r>
          </w:p>
        </w:tc>
        <w:tc>
          <w:tcPr>
            <w:tcW w:w="254" w:type="pct"/>
            <w:tcBorders>
              <w:top w:val="single" w:sz="4" w:space="0" w:color="auto"/>
              <w:left w:val="nil"/>
              <w:bottom w:val="thickThinSmallGap" w:sz="24" w:space="0" w:color="auto"/>
              <w:right w:val="nil"/>
            </w:tcBorders>
          </w:tcPr>
          <w:p w:rsidR="00E92DD2" w:rsidRPr="00A44FDB" w:rsidRDefault="00E92DD2" w:rsidP="008C0B03">
            <w:pPr>
              <w:jc w:val="center"/>
            </w:pPr>
            <w:r w:rsidRPr="00A44FDB">
              <w:t>Ref</w:t>
            </w:r>
          </w:p>
        </w:tc>
        <w:tc>
          <w:tcPr>
            <w:tcW w:w="571" w:type="pct"/>
            <w:tcBorders>
              <w:top w:val="single" w:sz="4" w:space="0" w:color="auto"/>
              <w:left w:val="nil"/>
              <w:bottom w:val="thickThinSmallGap" w:sz="24" w:space="0" w:color="auto"/>
              <w:right w:val="nil"/>
            </w:tcBorders>
          </w:tcPr>
          <w:p w:rsidR="00E92DD2" w:rsidRPr="00A44FDB" w:rsidRDefault="00E92DD2" w:rsidP="008C0B03">
            <w:pPr>
              <w:jc w:val="center"/>
            </w:pPr>
            <w:r w:rsidRPr="00A44FDB">
              <w:t>ENAV16 Input Paper Number</w:t>
            </w:r>
          </w:p>
        </w:tc>
      </w:tr>
      <w:tr w:rsidR="00E92DD2" w:rsidRPr="00F17A05" w:rsidTr="00071BDC">
        <w:trPr>
          <w:trHeight w:val="570"/>
        </w:trPr>
        <w:tc>
          <w:tcPr>
            <w:tcW w:w="513" w:type="pct"/>
            <w:tcBorders>
              <w:top w:val="nil"/>
              <w:left w:val="single" w:sz="4" w:space="0" w:color="auto"/>
              <w:bottom w:val="single" w:sz="4" w:space="0" w:color="auto"/>
              <w:right w:val="nil"/>
            </w:tcBorders>
            <w:shd w:val="clear" w:color="auto" w:fill="auto"/>
            <w:noWrap/>
            <w:vAlign w:val="center"/>
          </w:tcPr>
          <w:p w:rsidR="00E92DD2" w:rsidRPr="00A44FDB" w:rsidRDefault="00E92DD2" w:rsidP="008C0B03">
            <w:pPr>
              <w:jc w:val="right"/>
              <w:rPr>
                <w:rFonts w:eastAsia="Times New Roman"/>
                <w:color w:val="000000"/>
                <w:lang w:eastAsia="en-IE"/>
              </w:rPr>
            </w:pPr>
            <w:r>
              <w:rPr>
                <w:rFonts w:eastAsia="Times New Roman"/>
                <w:color w:val="000000"/>
                <w:lang w:eastAsia="en-IE"/>
              </w:rPr>
              <w:t>None</w:t>
            </w:r>
          </w:p>
        </w:tc>
        <w:tc>
          <w:tcPr>
            <w:tcW w:w="360" w:type="pct"/>
            <w:tcBorders>
              <w:top w:val="nil"/>
              <w:left w:val="nil"/>
              <w:bottom w:val="single" w:sz="4" w:space="0" w:color="auto"/>
              <w:right w:val="single" w:sz="4" w:space="0" w:color="auto"/>
            </w:tcBorders>
            <w:shd w:val="clear" w:color="auto" w:fill="auto"/>
            <w:noWrap/>
            <w:vAlign w:val="center"/>
          </w:tcPr>
          <w:p w:rsidR="00E92DD2" w:rsidRPr="00A44FDB" w:rsidRDefault="00E92DD2" w:rsidP="008C0B03">
            <w:pPr>
              <w:rPr>
                <w:rFonts w:eastAsia="Times New Roman"/>
                <w:color w:val="000000"/>
                <w:lang w:eastAsia="en-IE"/>
              </w:rPr>
            </w:pPr>
          </w:p>
        </w:tc>
        <w:tc>
          <w:tcPr>
            <w:tcW w:w="1360" w:type="pct"/>
            <w:tcBorders>
              <w:top w:val="nil"/>
              <w:left w:val="nil"/>
              <w:bottom w:val="single" w:sz="4" w:space="0" w:color="auto"/>
              <w:right w:val="single" w:sz="4" w:space="0" w:color="auto"/>
            </w:tcBorders>
            <w:shd w:val="clear" w:color="auto" w:fill="auto"/>
            <w:vAlign w:val="center"/>
          </w:tcPr>
          <w:p w:rsidR="00E92DD2" w:rsidRPr="00A44FDB" w:rsidRDefault="00E92DD2" w:rsidP="008C0B03">
            <w:pPr>
              <w:rPr>
                <w:rFonts w:eastAsia="Times New Roman"/>
                <w:color w:val="000000"/>
                <w:lang w:eastAsia="en-IE"/>
              </w:rPr>
            </w:pPr>
          </w:p>
        </w:tc>
        <w:tc>
          <w:tcPr>
            <w:tcW w:w="1942" w:type="pct"/>
            <w:tcBorders>
              <w:top w:val="nil"/>
              <w:left w:val="nil"/>
              <w:bottom w:val="single" w:sz="4" w:space="0" w:color="auto"/>
              <w:right w:val="nil"/>
            </w:tcBorders>
            <w:vAlign w:val="center"/>
          </w:tcPr>
          <w:p w:rsidR="00E92DD2" w:rsidRPr="00A44FDB" w:rsidRDefault="00E92DD2">
            <w:pPr>
              <w:rPr>
                <w:rFonts w:eastAsia="Arial"/>
                <w:color w:val="000000"/>
                <w:lang w:eastAsia="en-IE"/>
              </w:rPr>
            </w:pPr>
            <w:r w:rsidRPr="00A44FDB">
              <w:rPr>
                <w:rFonts w:eastAsia="Times New Roman"/>
                <w:color w:val="000000"/>
                <w:lang w:eastAsia="en-IE"/>
              </w:rPr>
              <w:t xml:space="preserve">Cover Note by chair of CSSA Correspondence Group (JHO) regarding work done intersessionally </w:t>
            </w:r>
            <w:r>
              <w:rPr>
                <w:rFonts w:eastAsia="Times New Roman"/>
                <w:color w:val="000000"/>
                <w:lang w:eastAsia="en-IE"/>
              </w:rPr>
              <w:t>by correspondence</w:t>
            </w:r>
          </w:p>
        </w:tc>
        <w:tc>
          <w:tcPr>
            <w:tcW w:w="254" w:type="pct"/>
            <w:tcBorders>
              <w:top w:val="nil"/>
              <w:left w:val="nil"/>
              <w:bottom w:val="single" w:sz="4" w:space="0" w:color="auto"/>
              <w:right w:val="nil"/>
            </w:tcBorders>
            <w:vAlign w:val="center"/>
          </w:tcPr>
          <w:p w:rsidR="00E92DD2" w:rsidRPr="00A44FDB" w:rsidRDefault="00E92DD2" w:rsidP="008C0B03">
            <w:pPr>
              <w:jc w:val="center"/>
              <w:rPr>
                <w:rFonts w:eastAsia="Arial"/>
                <w:color w:val="000000"/>
                <w:lang w:eastAsia="en-IE"/>
              </w:rPr>
            </w:pPr>
            <w:r w:rsidRPr="00A44FDB">
              <w:rPr>
                <w:rFonts w:eastAsia="Arial"/>
                <w:color w:val="000000"/>
                <w:lang w:eastAsia="en-IE"/>
              </w:rPr>
              <w:t>#1</w:t>
            </w:r>
          </w:p>
        </w:tc>
        <w:tc>
          <w:tcPr>
            <w:tcW w:w="571" w:type="pct"/>
            <w:tcBorders>
              <w:top w:val="nil"/>
              <w:left w:val="nil"/>
              <w:bottom w:val="single" w:sz="4" w:space="0" w:color="auto"/>
              <w:right w:val="nil"/>
            </w:tcBorders>
            <w:vAlign w:val="center"/>
          </w:tcPr>
          <w:p w:rsidR="00E92DD2" w:rsidRPr="00A44FDB" w:rsidRDefault="00E92DD2" w:rsidP="008C0B03">
            <w:pPr>
              <w:rPr>
                <w:rFonts w:eastAsia="Arial"/>
                <w:color w:val="000000"/>
                <w:lang w:eastAsia="en-IE"/>
              </w:rPr>
            </w:pPr>
            <w:r w:rsidRPr="00A44FDB">
              <w:rPr>
                <w:rFonts w:eastAsia="Arial"/>
                <w:color w:val="000000"/>
                <w:lang w:eastAsia="en-IE"/>
              </w:rPr>
              <w:t>ENAV16-9.13</w:t>
            </w:r>
          </w:p>
        </w:tc>
      </w:tr>
      <w:tr w:rsidR="00E92DD2" w:rsidRPr="00F17A05" w:rsidTr="00071BDC">
        <w:trPr>
          <w:trHeight w:val="570"/>
        </w:trPr>
        <w:tc>
          <w:tcPr>
            <w:tcW w:w="513" w:type="pct"/>
            <w:vMerge w:val="restart"/>
            <w:tcBorders>
              <w:top w:val="nil"/>
              <w:left w:val="single" w:sz="4" w:space="0" w:color="auto"/>
              <w:right w:val="nil"/>
            </w:tcBorders>
            <w:shd w:val="clear" w:color="auto" w:fill="auto"/>
            <w:noWrap/>
            <w:vAlign w:val="center"/>
          </w:tcPr>
          <w:p w:rsidR="00E92DD2" w:rsidRPr="00A44FDB" w:rsidRDefault="00E92DD2" w:rsidP="008C0B03">
            <w:pPr>
              <w:jc w:val="right"/>
              <w:rPr>
                <w:rFonts w:eastAsia="Times New Roman"/>
                <w:color w:val="000000"/>
                <w:lang w:eastAsia="en-IE"/>
              </w:rPr>
            </w:pPr>
            <w:r w:rsidRPr="00A44FDB">
              <w:rPr>
                <w:rFonts w:eastAsia="Times New Roman"/>
                <w:color w:val="000000"/>
                <w:lang w:eastAsia="en-IE"/>
              </w:rPr>
              <w:t>ENAV15-</w:t>
            </w:r>
          </w:p>
        </w:tc>
        <w:tc>
          <w:tcPr>
            <w:tcW w:w="360" w:type="pct"/>
            <w:vMerge w:val="restart"/>
            <w:tcBorders>
              <w:top w:val="nil"/>
              <w:left w:val="nil"/>
              <w:right w:val="single" w:sz="4" w:space="0" w:color="auto"/>
            </w:tcBorders>
            <w:shd w:val="clear" w:color="auto" w:fill="auto"/>
            <w:noWrap/>
            <w:vAlign w:val="center"/>
          </w:tcPr>
          <w:p w:rsidR="00E92DD2" w:rsidRPr="00A44FDB" w:rsidRDefault="00E92DD2" w:rsidP="008C0B03">
            <w:pPr>
              <w:rPr>
                <w:rFonts w:eastAsia="Times New Roman"/>
                <w:color w:val="000000"/>
                <w:lang w:eastAsia="en-IE"/>
              </w:rPr>
            </w:pPr>
            <w:r w:rsidRPr="00A44FDB">
              <w:rPr>
                <w:rFonts w:eastAsia="Times New Roman"/>
                <w:color w:val="000000"/>
                <w:lang w:eastAsia="en-IE"/>
              </w:rPr>
              <w:t>14.2.30</w:t>
            </w:r>
          </w:p>
        </w:tc>
        <w:tc>
          <w:tcPr>
            <w:tcW w:w="1360" w:type="pct"/>
            <w:vMerge w:val="restart"/>
            <w:tcBorders>
              <w:top w:val="nil"/>
              <w:left w:val="nil"/>
              <w:right w:val="single" w:sz="4" w:space="0" w:color="auto"/>
            </w:tcBorders>
            <w:shd w:val="clear" w:color="auto" w:fill="auto"/>
            <w:vAlign w:val="center"/>
          </w:tcPr>
          <w:p w:rsidR="00E92DD2" w:rsidRPr="00A44FDB" w:rsidRDefault="00E92DD2" w:rsidP="008C0B03">
            <w:pPr>
              <w:rPr>
                <w:rFonts w:eastAsia="Times New Roman"/>
                <w:color w:val="000000"/>
                <w:lang w:eastAsia="en-IE"/>
              </w:rPr>
            </w:pPr>
            <w:r w:rsidRPr="00A44FDB">
              <w:rPr>
                <w:rFonts w:eastAsia="Times New Roman"/>
                <w:color w:val="000000"/>
                <w:lang w:eastAsia="en-IE"/>
              </w:rPr>
              <w:t>Draft Revision Of Rec e-NAV-140 on e-Navigation Architecture-Shore perspective(Ed2)a</w:t>
            </w:r>
          </w:p>
        </w:tc>
        <w:tc>
          <w:tcPr>
            <w:tcW w:w="1942"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r w:rsidRPr="00A44FDB">
              <w:rPr>
                <w:rFonts w:eastAsia="Times New Roman"/>
                <w:color w:val="000000"/>
                <w:lang w:eastAsia="en-IE"/>
              </w:rPr>
              <w:t>Draft Revision Of Rec e-NAV-140 on The Architecture for the Shore-Based Infrastructure ‘fit for e-Navigation’ (Ed. 2: 2015) created from the Recommendation part of ENAV15-14.2.30.</w:t>
            </w:r>
          </w:p>
        </w:tc>
        <w:tc>
          <w:tcPr>
            <w:tcW w:w="254" w:type="pct"/>
            <w:tcBorders>
              <w:top w:val="nil"/>
              <w:left w:val="nil"/>
              <w:bottom w:val="single" w:sz="4" w:space="0" w:color="auto"/>
              <w:right w:val="nil"/>
            </w:tcBorders>
            <w:vAlign w:val="center"/>
          </w:tcPr>
          <w:p w:rsidR="00E92DD2" w:rsidRPr="00A44FDB" w:rsidRDefault="00E92DD2" w:rsidP="008C0B03">
            <w:pPr>
              <w:jc w:val="center"/>
              <w:rPr>
                <w:rFonts w:eastAsia="Times New Roman"/>
                <w:color w:val="000000"/>
                <w:lang w:eastAsia="en-IE"/>
              </w:rPr>
            </w:pPr>
            <w:r w:rsidRPr="00A44FDB">
              <w:rPr>
                <w:rFonts w:eastAsia="Times New Roman"/>
                <w:color w:val="000000"/>
                <w:lang w:eastAsia="en-IE"/>
              </w:rPr>
              <w:t>#2</w:t>
            </w:r>
          </w:p>
        </w:tc>
        <w:tc>
          <w:tcPr>
            <w:tcW w:w="571"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r w:rsidRPr="00A44FDB">
              <w:rPr>
                <w:rFonts w:eastAsia="Times New Roman"/>
                <w:color w:val="000000"/>
                <w:lang w:eastAsia="en-IE"/>
              </w:rPr>
              <w:t>ENAV16-9.14</w:t>
            </w:r>
          </w:p>
        </w:tc>
      </w:tr>
      <w:tr w:rsidR="00E92DD2" w:rsidRPr="00F17A05" w:rsidTr="00071BDC">
        <w:trPr>
          <w:trHeight w:val="570"/>
        </w:trPr>
        <w:tc>
          <w:tcPr>
            <w:tcW w:w="513" w:type="pct"/>
            <w:vMerge/>
            <w:tcBorders>
              <w:left w:val="single" w:sz="4" w:space="0" w:color="auto"/>
              <w:bottom w:val="single" w:sz="4" w:space="0" w:color="auto"/>
              <w:right w:val="nil"/>
            </w:tcBorders>
            <w:shd w:val="clear" w:color="auto" w:fill="auto"/>
            <w:noWrap/>
            <w:vAlign w:val="center"/>
          </w:tcPr>
          <w:p w:rsidR="00E92DD2" w:rsidRPr="00A44FDB" w:rsidRDefault="00E92DD2" w:rsidP="008C0B03">
            <w:pPr>
              <w:jc w:val="right"/>
              <w:rPr>
                <w:rFonts w:eastAsia="Times New Roman"/>
                <w:color w:val="000000"/>
                <w:lang w:eastAsia="en-IE"/>
              </w:rPr>
            </w:pPr>
          </w:p>
        </w:tc>
        <w:tc>
          <w:tcPr>
            <w:tcW w:w="360" w:type="pct"/>
            <w:vMerge/>
            <w:tcBorders>
              <w:left w:val="nil"/>
              <w:bottom w:val="single" w:sz="4" w:space="0" w:color="auto"/>
              <w:right w:val="single" w:sz="4" w:space="0" w:color="auto"/>
            </w:tcBorders>
            <w:shd w:val="clear" w:color="auto" w:fill="auto"/>
            <w:noWrap/>
            <w:vAlign w:val="center"/>
          </w:tcPr>
          <w:p w:rsidR="00E92DD2" w:rsidRPr="00A44FDB" w:rsidRDefault="00E92DD2" w:rsidP="008C0B03">
            <w:pPr>
              <w:rPr>
                <w:rFonts w:eastAsia="Times New Roman"/>
                <w:color w:val="000000"/>
                <w:lang w:eastAsia="en-IE"/>
              </w:rPr>
            </w:pPr>
          </w:p>
        </w:tc>
        <w:tc>
          <w:tcPr>
            <w:tcW w:w="1360" w:type="pct"/>
            <w:vMerge/>
            <w:tcBorders>
              <w:left w:val="nil"/>
              <w:bottom w:val="single" w:sz="4" w:space="0" w:color="auto"/>
              <w:right w:val="single" w:sz="4" w:space="0" w:color="auto"/>
            </w:tcBorders>
            <w:shd w:val="clear" w:color="auto" w:fill="auto"/>
            <w:vAlign w:val="center"/>
          </w:tcPr>
          <w:p w:rsidR="00E92DD2" w:rsidRPr="00A44FDB" w:rsidRDefault="00E92DD2" w:rsidP="008C0B03">
            <w:pPr>
              <w:rPr>
                <w:rFonts w:eastAsia="Times New Roman"/>
                <w:color w:val="000000"/>
                <w:lang w:eastAsia="en-IE"/>
              </w:rPr>
            </w:pPr>
          </w:p>
        </w:tc>
        <w:tc>
          <w:tcPr>
            <w:tcW w:w="1942"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r w:rsidRPr="00A44FDB">
              <w:rPr>
                <w:rFonts w:eastAsia="Times New Roman"/>
                <w:color w:val="000000"/>
                <w:lang w:eastAsia="en-IE"/>
              </w:rPr>
              <w:t>IALA Guideline [&lt;No x&gt;] on Design and Implementation Principles for harmonized System Architectures of Shore-based Infrastructure created from the Annex to ENAV</w:t>
            </w:r>
            <w:r w:rsidR="00071BDC">
              <w:rPr>
                <w:rFonts w:eastAsia="Times New Roman"/>
                <w:color w:val="000000"/>
                <w:lang w:eastAsia="en-IE"/>
              </w:rPr>
              <w:t>15-</w:t>
            </w:r>
            <w:r w:rsidRPr="00A44FDB">
              <w:rPr>
                <w:rFonts w:eastAsia="Times New Roman"/>
                <w:color w:val="000000"/>
                <w:lang w:eastAsia="en-IE"/>
              </w:rPr>
              <w:t>14.2.30.</w:t>
            </w:r>
          </w:p>
        </w:tc>
        <w:tc>
          <w:tcPr>
            <w:tcW w:w="254" w:type="pct"/>
            <w:tcBorders>
              <w:top w:val="nil"/>
              <w:left w:val="nil"/>
              <w:bottom w:val="single" w:sz="4" w:space="0" w:color="auto"/>
              <w:right w:val="nil"/>
            </w:tcBorders>
            <w:vAlign w:val="center"/>
          </w:tcPr>
          <w:p w:rsidR="00E92DD2" w:rsidRPr="00A44FDB" w:rsidRDefault="00E92DD2" w:rsidP="008C0B03">
            <w:pPr>
              <w:jc w:val="center"/>
              <w:rPr>
                <w:rFonts w:eastAsia="Times New Roman"/>
                <w:color w:val="000000"/>
                <w:lang w:eastAsia="en-IE"/>
              </w:rPr>
            </w:pPr>
            <w:r w:rsidRPr="00A44FDB">
              <w:rPr>
                <w:rFonts w:eastAsia="Times New Roman"/>
                <w:color w:val="000000"/>
                <w:lang w:eastAsia="en-IE"/>
              </w:rPr>
              <w:t>#3</w:t>
            </w:r>
          </w:p>
        </w:tc>
        <w:tc>
          <w:tcPr>
            <w:tcW w:w="571"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r w:rsidRPr="00A44FDB">
              <w:rPr>
                <w:rFonts w:eastAsia="Times New Roman"/>
                <w:color w:val="000000"/>
                <w:lang w:eastAsia="en-IE"/>
              </w:rPr>
              <w:t>ENAV16-9.15</w:t>
            </w:r>
          </w:p>
        </w:tc>
      </w:tr>
      <w:tr w:rsidR="00E92DD2" w:rsidRPr="00F17A05" w:rsidTr="00071BDC">
        <w:trPr>
          <w:trHeight w:val="570"/>
        </w:trPr>
        <w:tc>
          <w:tcPr>
            <w:tcW w:w="513" w:type="pct"/>
            <w:tcBorders>
              <w:top w:val="nil"/>
              <w:left w:val="single" w:sz="4" w:space="0" w:color="auto"/>
              <w:bottom w:val="single" w:sz="4" w:space="0" w:color="auto"/>
              <w:right w:val="nil"/>
            </w:tcBorders>
            <w:shd w:val="clear" w:color="auto" w:fill="auto"/>
            <w:noWrap/>
            <w:vAlign w:val="center"/>
            <w:hideMark/>
          </w:tcPr>
          <w:p w:rsidR="00E92DD2" w:rsidRPr="00A44FDB" w:rsidRDefault="00E92DD2" w:rsidP="008C0B03">
            <w:pPr>
              <w:jc w:val="right"/>
              <w:rPr>
                <w:rFonts w:eastAsia="Times New Roman"/>
                <w:color w:val="000000"/>
                <w:lang w:eastAsia="en-IE"/>
              </w:rPr>
            </w:pPr>
            <w:r w:rsidRPr="00A44FDB">
              <w:rPr>
                <w:rFonts w:eastAsia="Times New Roman"/>
                <w:color w:val="000000"/>
                <w:lang w:eastAsia="en-IE"/>
              </w:rPr>
              <w:t>ENAV15-</w:t>
            </w:r>
          </w:p>
        </w:tc>
        <w:tc>
          <w:tcPr>
            <w:tcW w:w="360" w:type="pct"/>
            <w:tcBorders>
              <w:top w:val="nil"/>
              <w:left w:val="nil"/>
              <w:bottom w:val="single" w:sz="4" w:space="0" w:color="auto"/>
              <w:right w:val="single" w:sz="4" w:space="0" w:color="auto"/>
            </w:tcBorders>
            <w:shd w:val="clear" w:color="auto" w:fill="auto"/>
            <w:noWrap/>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14.2.8</w:t>
            </w:r>
          </w:p>
        </w:tc>
        <w:tc>
          <w:tcPr>
            <w:tcW w:w="1360" w:type="pct"/>
            <w:tcBorders>
              <w:top w:val="nil"/>
              <w:left w:val="nil"/>
              <w:bottom w:val="single" w:sz="4" w:space="0" w:color="auto"/>
              <w:right w:val="single" w:sz="4" w:space="0" w:color="auto"/>
            </w:tcBorders>
            <w:shd w:val="clear" w:color="auto" w:fill="auto"/>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IALA Recommendation on the IALA Common Shore-based System Architecture (CSSA) 20130925d</w:t>
            </w:r>
          </w:p>
        </w:tc>
        <w:tc>
          <w:tcPr>
            <w:tcW w:w="1942" w:type="pct"/>
            <w:tcBorders>
              <w:top w:val="nil"/>
              <w:left w:val="nil"/>
              <w:bottom w:val="single" w:sz="4" w:space="0" w:color="auto"/>
              <w:right w:val="nil"/>
            </w:tcBorders>
            <w:vAlign w:val="center"/>
          </w:tcPr>
          <w:p w:rsidR="00E92DD2" w:rsidRPr="00A44FDB" w:rsidRDefault="00E92DD2" w:rsidP="008C0B03">
            <w:pPr>
              <w:rPr>
                <w:rFonts w:eastAsia="Arial"/>
                <w:color w:val="000000"/>
                <w:lang w:eastAsia="en-IE"/>
              </w:rPr>
            </w:pPr>
            <w:r w:rsidRPr="00A44FDB">
              <w:rPr>
                <w:rFonts w:eastAsia="Arial"/>
                <w:color w:val="000000"/>
                <w:lang w:eastAsia="en-IE"/>
              </w:rPr>
              <w:t>Amended to IALA Guideline [&lt;No x+1&gt;] on a Technical Specification for the Common Shore-based System Architecture (CSSA)</w:t>
            </w:r>
          </w:p>
        </w:tc>
        <w:tc>
          <w:tcPr>
            <w:tcW w:w="254" w:type="pct"/>
            <w:tcBorders>
              <w:top w:val="nil"/>
              <w:left w:val="nil"/>
              <w:bottom w:val="single" w:sz="4" w:space="0" w:color="auto"/>
              <w:right w:val="nil"/>
            </w:tcBorders>
            <w:vAlign w:val="center"/>
          </w:tcPr>
          <w:p w:rsidR="00E92DD2" w:rsidRPr="00A44FDB" w:rsidRDefault="00E92DD2" w:rsidP="008C0B03">
            <w:pPr>
              <w:jc w:val="center"/>
              <w:rPr>
                <w:rFonts w:eastAsia="Arial"/>
                <w:color w:val="000000"/>
                <w:lang w:eastAsia="en-IE"/>
              </w:rPr>
            </w:pPr>
            <w:r w:rsidRPr="00A44FDB">
              <w:rPr>
                <w:rFonts w:eastAsia="Arial"/>
                <w:color w:val="000000"/>
                <w:lang w:eastAsia="en-IE"/>
              </w:rPr>
              <w:t>#4</w:t>
            </w:r>
          </w:p>
        </w:tc>
        <w:tc>
          <w:tcPr>
            <w:tcW w:w="571" w:type="pct"/>
            <w:tcBorders>
              <w:top w:val="nil"/>
              <w:left w:val="nil"/>
              <w:bottom w:val="single" w:sz="4" w:space="0" w:color="auto"/>
              <w:right w:val="nil"/>
            </w:tcBorders>
            <w:vAlign w:val="center"/>
          </w:tcPr>
          <w:p w:rsidR="00E92DD2" w:rsidRPr="00A44FDB" w:rsidRDefault="00E92DD2" w:rsidP="008C0B03">
            <w:pPr>
              <w:rPr>
                <w:rFonts w:eastAsia="Arial"/>
                <w:color w:val="000000"/>
                <w:lang w:eastAsia="en-IE"/>
              </w:rPr>
            </w:pPr>
            <w:r w:rsidRPr="00A44FDB">
              <w:rPr>
                <w:rFonts w:eastAsia="Arial"/>
                <w:color w:val="000000"/>
                <w:lang w:eastAsia="en-IE"/>
              </w:rPr>
              <w:t>ENAV16-9.16</w:t>
            </w:r>
          </w:p>
        </w:tc>
      </w:tr>
      <w:tr w:rsidR="00E92DD2" w:rsidRPr="00F17A05" w:rsidTr="00071BDC">
        <w:trPr>
          <w:trHeight w:val="570"/>
        </w:trPr>
        <w:tc>
          <w:tcPr>
            <w:tcW w:w="513" w:type="pct"/>
            <w:tcBorders>
              <w:top w:val="nil"/>
              <w:left w:val="single" w:sz="4" w:space="0" w:color="auto"/>
              <w:bottom w:val="single" w:sz="4" w:space="0" w:color="auto"/>
              <w:right w:val="nil"/>
            </w:tcBorders>
            <w:shd w:val="clear" w:color="auto" w:fill="auto"/>
            <w:noWrap/>
            <w:vAlign w:val="center"/>
            <w:hideMark/>
          </w:tcPr>
          <w:p w:rsidR="00E92DD2" w:rsidRPr="00A44FDB" w:rsidRDefault="00E92DD2" w:rsidP="008C0B03">
            <w:pPr>
              <w:jc w:val="right"/>
              <w:rPr>
                <w:rFonts w:eastAsia="Times New Roman"/>
                <w:color w:val="000000"/>
                <w:lang w:eastAsia="en-IE"/>
              </w:rPr>
            </w:pPr>
            <w:r w:rsidRPr="00A44FDB">
              <w:rPr>
                <w:rFonts w:eastAsia="Times New Roman"/>
                <w:color w:val="000000"/>
                <w:lang w:eastAsia="en-IE"/>
              </w:rPr>
              <w:t>ENAV15-</w:t>
            </w:r>
          </w:p>
        </w:tc>
        <w:tc>
          <w:tcPr>
            <w:tcW w:w="360" w:type="pct"/>
            <w:tcBorders>
              <w:top w:val="nil"/>
              <w:left w:val="nil"/>
              <w:bottom w:val="single" w:sz="4" w:space="0" w:color="auto"/>
              <w:right w:val="single" w:sz="4" w:space="0" w:color="auto"/>
            </w:tcBorders>
            <w:shd w:val="clear" w:color="auto" w:fill="auto"/>
            <w:noWrap/>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14.2.9</w:t>
            </w:r>
          </w:p>
        </w:tc>
        <w:tc>
          <w:tcPr>
            <w:tcW w:w="1360" w:type="pct"/>
            <w:tcBorders>
              <w:top w:val="nil"/>
              <w:left w:val="nil"/>
              <w:bottom w:val="single" w:sz="4" w:space="0" w:color="auto"/>
              <w:right w:val="single" w:sz="4" w:space="0" w:color="auto"/>
            </w:tcBorders>
            <w:shd w:val="clear" w:color="auto" w:fill="auto"/>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Main Draft IALA Recommendation On Generic Service Engineering Model 20140904 Amended</w:t>
            </w:r>
          </w:p>
        </w:tc>
        <w:tc>
          <w:tcPr>
            <w:tcW w:w="1942"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r w:rsidRPr="00A44FDB">
              <w:rPr>
                <w:rFonts w:eastAsia="Times New Roman"/>
                <w:color w:val="000000"/>
                <w:lang w:eastAsia="en-IE"/>
              </w:rPr>
              <w:t>Amended to Draft IALA Guideline [&lt;No x+2&gt;] on a Technical Specification for a CSSA Generic Service Engineering Model ; main body</w:t>
            </w:r>
          </w:p>
        </w:tc>
        <w:tc>
          <w:tcPr>
            <w:tcW w:w="254" w:type="pct"/>
            <w:tcBorders>
              <w:top w:val="nil"/>
              <w:left w:val="nil"/>
              <w:bottom w:val="single" w:sz="4" w:space="0" w:color="auto"/>
              <w:right w:val="nil"/>
            </w:tcBorders>
            <w:vAlign w:val="center"/>
          </w:tcPr>
          <w:p w:rsidR="00E92DD2" w:rsidRPr="00A44FDB" w:rsidRDefault="00E92DD2" w:rsidP="008C0B03">
            <w:pPr>
              <w:jc w:val="center"/>
              <w:rPr>
                <w:rFonts w:eastAsia="Times New Roman"/>
                <w:color w:val="000000"/>
                <w:lang w:eastAsia="en-IE"/>
              </w:rPr>
            </w:pPr>
            <w:r w:rsidRPr="00A44FDB">
              <w:rPr>
                <w:rFonts w:eastAsia="Times New Roman"/>
                <w:color w:val="000000"/>
                <w:lang w:eastAsia="en-IE"/>
              </w:rPr>
              <w:t>#5</w:t>
            </w:r>
          </w:p>
        </w:tc>
        <w:tc>
          <w:tcPr>
            <w:tcW w:w="571"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r w:rsidRPr="00A44FDB">
              <w:rPr>
                <w:rFonts w:eastAsia="Times New Roman"/>
                <w:color w:val="000000"/>
                <w:lang w:eastAsia="en-IE"/>
              </w:rPr>
              <w:t>ENAV16-9.17</w:t>
            </w:r>
          </w:p>
        </w:tc>
      </w:tr>
      <w:tr w:rsidR="00E92DD2" w:rsidRPr="00F17A05" w:rsidTr="00071BDC">
        <w:trPr>
          <w:trHeight w:val="570"/>
        </w:trPr>
        <w:tc>
          <w:tcPr>
            <w:tcW w:w="513" w:type="pct"/>
            <w:tcBorders>
              <w:top w:val="nil"/>
              <w:left w:val="single" w:sz="4" w:space="0" w:color="auto"/>
              <w:bottom w:val="single" w:sz="4" w:space="0" w:color="auto"/>
              <w:right w:val="nil"/>
            </w:tcBorders>
            <w:shd w:val="clear" w:color="auto" w:fill="auto"/>
            <w:noWrap/>
            <w:vAlign w:val="center"/>
            <w:hideMark/>
          </w:tcPr>
          <w:p w:rsidR="00E92DD2" w:rsidRPr="00A44FDB" w:rsidRDefault="00E92DD2" w:rsidP="008C0B03">
            <w:pPr>
              <w:jc w:val="right"/>
              <w:rPr>
                <w:rFonts w:eastAsia="Times New Roman"/>
                <w:color w:val="000000"/>
                <w:lang w:eastAsia="en-IE"/>
              </w:rPr>
            </w:pPr>
            <w:r w:rsidRPr="00A44FDB">
              <w:rPr>
                <w:rFonts w:eastAsia="Times New Roman"/>
                <w:color w:val="000000"/>
                <w:lang w:eastAsia="en-IE"/>
              </w:rPr>
              <w:t>ENAV15-</w:t>
            </w:r>
          </w:p>
        </w:tc>
        <w:tc>
          <w:tcPr>
            <w:tcW w:w="360" w:type="pct"/>
            <w:tcBorders>
              <w:top w:val="nil"/>
              <w:left w:val="nil"/>
              <w:bottom w:val="single" w:sz="4" w:space="0" w:color="auto"/>
              <w:right w:val="single" w:sz="4" w:space="0" w:color="auto"/>
            </w:tcBorders>
            <w:shd w:val="clear" w:color="auto" w:fill="auto"/>
            <w:noWrap/>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 xml:space="preserve">14.2.10 </w:t>
            </w:r>
          </w:p>
          <w:p w:rsidR="00E92DD2" w:rsidRPr="00A44FDB" w:rsidRDefault="00E92DD2" w:rsidP="008C0B03">
            <w:pPr>
              <w:rPr>
                <w:rFonts w:eastAsia="Times New Roman"/>
                <w:color w:val="000000"/>
                <w:lang w:eastAsia="en-IE"/>
              </w:rPr>
            </w:pPr>
            <w:r w:rsidRPr="00A44FDB">
              <w:rPr>
                <w:rFonts w:eastAsia="Times New Roman"/>
                <w:color w:val="000000"/>
                <w:lang w:eastAsia="en-IE"/>
              </w:rPr>
              <w:t>to</w:t>
            </w:r>
          </w:p>
          <w:p w:rsidR="00E92DD2" w:rsidRPr="00A44FDB" w:rsidRDefault="00E92DD2" w:rsidP="008C0B03">
            <w:pPr>
              <w:rPr>
                <w:rFonts w:eastAsia="Times New Roman"/>
                <w:color w:val="000000"/>
                <w:lang w:eastAsia="en-IE"/>
              </w:rPr>
            </w:pPr>
            <w:r w:rsidRPr="00A44FDB">
              <w:rPr>
                <w:rFonts w:eastAsia="Times New Roman"/>
                <w:color w:val="000000"/>
                <w:lang w:eastAsia="en-IE"/>
              </w:rPr>
              <w:t xml:space="preserve">14.2.27 </w:t>
            </w:r>
          </w:p>
        </w:tc>
        <w:tc>
          <w:tcPr>
            <w:tcW w:w="1360" w:type="pct"/>
            <w:tcBorders>
              <w:top w:val="nil"/>
              <w:left w:val="nil"/>
              <w:bottom w:val="single" w:sz="4" w:space="0" w:color="auto"/>
              <w:right w:val="single" w:sz="4" w:space="0" w:color="auto"/>
            </w:tcBorders>
            <w:shd w:val="clear" w:color="auto" w:fill="auto"/>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Appendices to CSSA Guideline</w:t>
            </w:r>
          </w:p>
        </w:tc>
        <w:tc>
          <w:tcPr>
            <w:tcW w:w="1942"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r w:rsidRPr="00A44FDB">
              <w:rPr>
                <w:rFonts w:eastAsia="Times New Roman"/>
                <w:color w:val="000000"/>
                <w:lang w:eastAsia="en-IE"/>
              </w:rPr>
              <w:t>Updated to Appendices to Guideline [&lt;No x+2&gt;] on a Technical Specification for a CSSA Generic Service Engineering Model. All appendices in single zip file</w:t>
            </w:r>
          </w:p>
        </w:tc>
        <w:tc>
          <w:tcPr>
            <w:tcW w:w="254" w:type="pct"/>
            <w:tcBorders>
              <w:top w:val="nil"/>
              <w:left w:val="nil"/>
              <w:bottom w:val="single" w:sz="4" w:space="0" w:color="auto"/>
              <w:right w:val="nil"/>
            </w:tcBorders>
            <w:vAlign w:val="center"/>
          </w:tcPr>
          <w:p w:rsidR="00E92DD2" w:rsidRPr="00A44FDB" w:rsidRDefault="00E92DD2" w:rsidP="008C0B03">
            <w:pPr>
              <w:jc w:val="center"/>
              <w:rPr>
                <w:rFonts w:eastAsia="Times New Roman"/>
                <w:color w:val="000000"/>
                <w:lang w:eastAsia="en-IE"/>
              </w:rPr>
            </w:pPr>
            <w:r w:rsidRPr="00A44FDB">
              <w:rPr>
                <w:rFonts w:eastAsia="Times New Roman"/>
                <w:color w:val="000000"/>
                <w:lang w:eastAsia="en-IE"/>
              </w:rPr>
              <w:t>#6</w:t>
            </w:r>
          </w:p>
        </w:tc>
        <w:tc>
          <w:tcPr>
            <w:tcW w:w="571"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r w:rsidRPr="00A44FDB">
              <w:rPr>
                <w:rFonts w:eastAsia="Times New Roman"/>
                <w:color w:val="000000"/>
                <w:lang w:eastAsia="en-IE"/>
              </w:rPr>
              <w:t>ENAV16-9.18</w:t>
            </w:r>
          </w:p>
        </w:tc>
      </w:tr>
      <w:tr w:rsidR="00E92DD2" w:rsidRPr="00F17A05" w:rsidTr="00071BDC">
        <w:trPr>
          <w:trHeight w:val="285"/>
        </w:trPr>
        <w:tc>
          <w:tcPr>
            <w:tcW w:w="513" w:type="pct"/>
            <w:tcBorders>
              <w:top w:val="nil"/>
              <w:left w:val="single" w:sz="4" w:space="0" w:color="auto"/>
              <w:bottom w:val="single" w:sz="4" w:space="0" w:color="auto"/>
              <w:right w:val="nil"/>
            </w:tcBorders>
            <w:shd w:val="clear" w:color="auto" w:fill="auto"/>
            <w:noWrap/>
            <w:vAlign w:val="center"/>
            <w:hideMark/>
          </w:tcPr>
          <w:p w:rsidR="00E92DD2" w:rsidRPr="00A44FDB" w:rsidRDefault="00E92DD2" w:rsidP="008C0B03">
            <w:pPr>
              <w:jc w:val="right"/>
              <w:rPr>
                <w:rFonts w:eastAsia="Times New Roman"/>
                <w:color w:val="000000"/>
                <w:lang w:eastAsia="en-IE"/>
              </w:rPr>
            </w:pPr>
            <w:r w:rsidRPr="00A44FDB">
              <w:rPr>
                <w:rFonts w:eastAsia="Times New Roman"/>
                <w:color w:val="000000"/>
                <w:lang w:eastAsia="en-IE"/>
              </w:rPr>
              <w:t>ENAV15-</w:t>
            </w:r>
          </w:p>
        </w:tc>
        <w:tc>
          <w:tcPr>
            <w:tcW w:w="360" w:type="pct"/>
            <w:tcBorders>
              <w:top w:val="nil"/>
              <w:left w:val="nil"/>
              <w:bottom w:val="single" w:sz="4" w:space="0" w:color="auto"/>
              <w:right w:val="single" w:sz="4" w:space="0" w:color="auto"/>
            </w:tcBorders>
            <w:shd w:val="clear" w:color="auto" w:fill="auto"/>
            <w:noWrap/>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14.2.28</w:t>
            </w:r>
          </w:p>
        </w:tc>
        <w:tc>
          <w:tcPr>
            <w:tcW w:w="1360" w:type="pct"/>
            <w:tcBorders>
              <w:top w:val="nil"/>
              <w:left w:val="nil"/>
              <w:bottom w:val="single" w:sz="4" w:space="0" w:color="auto"/>
              <w:right w:val="single" w:sz="4" w:space="0" w:color="auto"/>
            </w:tcBorders>
            <w:shd w:val="clear" w:color="auto" w:fill="auto"/>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CSSA Generic Service Model Workplan</w:t>
            </w:r>
          </w:p>
        </w:tc>
        <w:tc>
          <w:tcPr>
            <w:tcW w:w="1942" w:type="pct"/>
            <w:tcBorders>
              <w:top w:val="nil"/>
              <w:left w:val="nil"/>
              <w:bottom w:val="single" w:sz="4" w:space="0" w:color="auto"/>
              <w:right w:val="nil"/>
            </w:tcBorders>
            <w:vAlign w:val="center"/>
          </w:tcPr>
          <w:p w:rsidR="00E92DD2" w:rsidRPr="00A44FDB" w:rsidRDefault="00A35DE1" w:rsidP="00071BDC">
            <w:pPr>
              <w:rPr>
                <w:rFonts w:eastAsia="Times New Roman"/>
                <w:color w:val="000000"/>
                <w:lang w:eastAsia="en-IE"/>
              </w:rPr>
            </w:pPr>
            <w:r>
              <w:rPr>
                <w:rFonts w:eastAsia="Times New Roman"/>
                <w:color w:val="000000"/>
                <w:lang w:eastAsia="en-IE"/>
              </w:rPr>
              <w:t>U</w:t>
            </w:r>
            <w:r w:rsidR="00071BDC">
              <w:rPr>
                <w:rFonts w:eastAsia="Times New Roman"/>
                <w:color w:val="000000"/>
                <w:lang w:eastAsia="en-IE"/>
              </w:rPr>
              <w:t>nchanged</w:t>
            </w:r>
            <w:r w:rsidR="001517FC">
              <w:rPr>
                <w:rFonts w:eastAsia="Times New Roman"/>
                <w:color w:val="000000"/>
                <w:lang w:eastAsia="en-IE"/>
              </w:rPr>
              <w:t xml:space="preserve"> from ENAV15</w:t>
            </w:r>
          </w:p>
        </w:tc>
        <w:tc>
          <w:tcPr>
            <w:tcW w:w="254" w:type="pct"/>
            <w:tcBorders>
              <w:top w:val="nil"/>
              <w:left w:val="nil"/>
              <w:bottom w:val="single" w:sz="4" w:space="0" w:color="auto"/>
              <w:right w:val="nil"/>
            </w:tcBorders>
            <w:vAlign w:val="center"/>
          </w:tcPr>
          <w:p w:rsidR="00E92DD2" w:rsidRPr="00A44FDB" w:rsidRDefault="00E92DD2" w:rsidP="008C0B03">
            <w:pPr>
              <w:jc w:val="center"/>
              <w:rPr>
                <w:rFonts w:eastAsia="Times New Roman"/>
                <w:color w:val="000000"/>
                <w:lang w:eastAsia="en-IE"/>
              </w:rPr>
            </w:pPr>
            <w:r w:rsidRPr="00A44FDB">
              <w:rPr>
                <w:rFonts w:eastAsia="Times New Roman"/>
                <w:color w:val="000000"/>
                <w:lang w:eastAsia="en-IE"/>
              </w:rPr>
              <w:t>#7</w:t>
            </w:r>
          </w:p>
        </w:tc>
        <w:tc>
          <w:tcPr>
            <w:tcW w:w="571"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r w:rsidRPr="00A44FDB">
              <w:rPr>
                <w:rFonts w:eastAsia="Times New Roman"/>
                <w:color w:val="000000"/>
                <w:lang w:eastAsia="en-IE"/>
              </w:rPr>
              <w:t>ENAV16-9.19</w:t>
            </w:r>
          </w:p>
        </w:tc>
      </w:tr>
      <w:tr w:rsidR="00E92DD2" w:rsidRPr="00F17A05" w:rsidTr="00071BDC">
        <w:trPr>
          <w:trHeight w:val="570"/>
        </w:trPr>
        <w:tc>
          <w:tcPr>
            <w:tcW w:w="513" w:type="pct"/>
            <w:tcBorders>
              <w:top w:val="nil"/>
              <w:left w:val="single" w:sz="4" w:space="0" w:color="auto"/>
              <w:bottom w:val="single" w:sz="4" w:space="0" w:color="auto"/>
              <w:right w:val="nil"/>
            </w:tcBorders>
            <w:shd w:val="clear" w:color="auto" w:fill="auto"/>
            <w:noWrap/>
            <w:vAlign w:val="center"/>
            <w:hideMark/>
          </w:tcPr>
          <w:p w:rsidR="00E92DD2" w:rsidRPr="00A44FDB" w:rsidRDefault="00E92DD2" w:rsidP="008C0B03">
            <w:pPr>
              <w:jc w:val="right"/>
              <w:rPr>
                <w:rFonts w:eastAsia="Times New Roman"/>
                <w:color w:val="000000"/>
                <w:lang w:eastAsia="en-IE"/>
              </w:rPr>
            </w:pPr>
            <w:r w:rsidRPr="00A44FDB">
              <w:rPr>
                <w:rFonts w:eastAsia="Times New Roman"/>
                <w:color w:val="000000"/>
                <w:lang w:eastAsia="en-IE"/>
              </w:rPr>
              <w:t>ENAV15-</w:t>
            </w:r>
          </w:p>
        </w:tc>
        <w:tc>
          <w:tcPr>
            <w:tcW w:w="360" w:type="pct"/>
            <w:tcBorders>
              <w:top w:val="nil"/>
              <w:left w:val="nil"/>
              <w:bottom w:val="single" w:sz="4" w:space="0" w:color="auto"/>
              <w:right w:val="single" w:sz="4" w:space="0" w:color="auto"/>
            </w:tcBorders>
            <w:shd w:val="clear" w:color="auto" w:fill="auto"/>
            <w:noWrap/>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14.2.29</w:t>
            </w:r>
          </w:p>
        </w:tc>
        <w:tc>
          <w:tcPr>
            <w:tcW w:w="1360" w:type="pct"/>
            <w:tcBorders>
              <w:top w:val="nil"/>
              <w:left w:val="nil"/>
              <w:bottom w:val="single" w:sz="4" w:space="0" w:color="auto"/>
              <w:right w:val="single" w:sz="4" w:space="0" w:color="auto"/>
            </w:tcBorders>
            <w:shd w:val="clear" w:color="auto" w:fill="auto"/>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Guideline on M2M Interfacing within the Common Shore-based System (CSS)</w:t>
            </w:r>
          </w:p>
        </w:tc>
        <w:tc>
          <w:tcPr>
            <w:tcW w:w="1942" w:type="pct"/>
            <w:tcBorders>
              <w:top w:val="nil"/>
              <w:left w:val="nil"/>
              <w:bottom w:val="single" w:sz="4" w:space="0" w:color="auto"/>
              <w:right w:val="nil"/>
            </w:tcBorders>
            <w:vAlign w:val="center"/>
          </w:tcPr>
          <w:p w:rsidR="00E92DD2" w:rsidRPr="00A44FDB" w:rsidRDefault="00A35DE1" w:rsidP="00A25227">
            <w:pPr>
              <w:rPr>
                <w:rFonts w:eastAsia="Times New Roman"/>
                <w:color w:val="000000"/>
                <w:lang w:eastAsia="en-IE"/>
              </w:rPr>
            </w:pPr>
            <w:r w:rsidRPr="00A35DE1">
              <w:rPr>
                <w:rFonts w:eastAsia="Times New Roman"/>
                <w:color w:val="000000"/>
                <w:lang w:eastAsia="en-IE"/>
              </w:rPr>
              <w:t>Amended and progressed intersessionally</w:t>
            </w:r>
          </w:p>
        </w:tc>
        <w:tc>
          <w:tcPr>
            <w:tcW w:w="254" w:type="pct"/>
            <w:tcBorders>
              <w:top w:val="nil"/>
              <w:left w:val="nil"/>
              <w:bottom w:val="single" w:sz="4" w:space="0" w:color="auto"/>
              <w:right w:val="nil"/>
            </w:tcBorders>
            <w:vAlign w:val="center"/>
          </w:tcPr>
          <w:p w:rsidR="00E92DD2" w:rsidRPr="00A44FDB" w:rsidRDefault="00E92DD2" w:rsidP="008C0B03">
            <w:pPr>
              <w:jc w:val="center"/>
              <w:rPr>
                <w:rFonts w:eastAsia="Times New Roman"/>
                <w:color w:val="000000"/>
                <w:lang w:eastAsia="en-IE"/>
              </w:rPr>
            </w:pPr>
            <w:r w:rsidRPr="00A44FDB">
              <w:rPr>
                <w:rFonts w:eastAsia="Times New Roman"/>
                <w:color w:val="000000"/>
                <w:lang w:eastAsia="en-IE"/>
              </w:rPr>
              <w:t>#8</w:t>
            </w:r>
          </w:p>
        </w:tc>
        <w:tc>
          <w:tcPr>
            <w:tcW w:w="571"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r w:rsidRPr="00A44FDB">
              <w:rPr>
                <w:rFonts w:eastAsia="Times New Roman"/>
                <w:color w:val="000000"/>
                <w:lang w:eastAsia="en-IE"/>
              </w:rPr>
              <w:t>ENAV16-9.20</w:t>
            </w:r>
          </w:p>
        </w:tc>
      </w:tr>
      <w:tr w:rsidR="00E92DD2" w:rsidRPr="00F17A05" w:rsidTr="00071BDC">
        <w:trPr>
          <w:trHeight w:val="570"/>
        </w:trPr>
        <w:tc>
          <w:tcPr>
            <w:tcW w:w="513" w:type="pct"/>
            <w:tcBorders>
              <w:top w:val="nil"/>
              <w:left w:val="single" w:sz="4" w:space="0" w:color="auto"/>
              <w:bottom w:val="single" w:sz="4" w:space="0" w:color="auto"/>
              <w:right w:val="nil"/>
            </w:tcBorders>
            <w:shd w:val="clear" w:color="auto" w:fill="auto"/>
            <w:noWrap/>
            <w:vAlign w:val="center"/>
            <w:hideMark/>
          </w:tcPr>
          <w:p w:rsidR="00E92DD2" w:rsidRPr="00A44FDB" w:rsidRDefault="00E92DD2" w:rsidP="008C0B03">
            <w:pPr>
              <w:jc w:val="right"/>
              <w:rPr>
                <w:rFonts w:eastAsia="Times New Roman"/>
                <w:color w:val="000000"/>
                <w:lang w:eastAsia="en-IE"/>
              </w:rPr>
            </w:pPr>
            <w:r w:rsidRPr="00A44FDB">
              <w:rPr>
                <w:rFonts w:eastAsia="Times New Roman"/>
                <w:color w:val="000000"/>
                <w:lang w:eastAsia="en-IE"/>
              </w:rPr>
              <w:t>ENAV15-</w:t>
            </w:r>
          </w:p>
        </w:tc>
        <w:tc>
          <w:tcPr>
            <w:tcW w:w="360" w:type="pct"/>
            <w:tcBorders>
              <w:top w:val="nil"/>
              <w:left w:val="nil"/>
              <w:bottom w:val="single" w:sz="4" w:space="0" w:color="auto"/>
              <w:right w:val="single" w:sz="4" w:space="0" w:color="auto"/>
            </w:tcBorders>
            <w:shd w:val="clear" w:color="auto" w:fill="auto"/>
            <w:noWrap/>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14.2.31</w:t>
            </w:r>
          </w:p>
        </w:tc>
        <w:tc>
          <w:tcPr>
            <w:tcW w:w="1360" w:type="pct"/>
            <w:tcBorders>
              <w:top w:val="nil"/>
              <w:left w:val="nil"/>
              <w:bottom w:val="single" w:sz="4" w:space="0" w:color="auto"/>
              <w:right w:val="single" w:sz="4" w:space="0" w:color="auto"/>
            </w:tcBorders>
            <w:shd w:val="clear" w:color="auto" w:fill="auto"/>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Proposal for a Standard for Interfaces among Shore-side Systems using UPnP</w:t>
            </w:r>
          </w:p>
        </w:tc>
        <w:tc>
          <w:tcPr>
            <w:tcW w:w="1942" w:type="pct"/>
            <w:tcBorders>
              <w:top w:val="nil"/>
              <w:left w:val="nil"/>
              <w:bottom w:val="single" w:sz="4" w:space="0" w:color="auto"/>
              <w:right w:val="nil"/>
            </w:tcBorders>
            <w:vAlign w:val="center"/>
          </w:tcPr>
          <w:p w:rsidR="00E92DD2" w:rsidRPr="00A44FDB" w:rsidRDefault="00DF7692" w:rsidP="008C0B03">
            <w:pPr>
              <w:rPr>
                <w:rFonts w:eastAsia="Times New Roman"/>
                <w:color w:val="000000"/>
                <w:lang w:eastAsia="en-IE"/>
              </w:rPr>
            </w:pPr>
            <w:r>
              <w:rPr>
                <w:rFonts w:eastAsia="Times New Roman"/>
                <w:color w:val="000000"/>
                <w:lang w:eastAsia="en-IE"/>
              </w:rPr>
              <w:t>Absorbed into ENAV16-9.20 (#8</w:t>
            </w:r>
            <w:r w:rsidR="00E92DD2" w:rsidRPr="00A44FDB">
              <w:rPr>
                <w:rFonts w:eastAsia="Times New Roman"/>
                <w:color w:val="000000"/>
                <w:lang w:eastAsia="en-IE"/>
              </w:rPr>
              <w:t>)</w:t>
            </w:r>
          </w:p>
        </w:tc>
        <w:tc>
          <w:tcPr>
            <w:tcW w:w="254" w:type="pct"/>
            <w:tcBorders>
              <w:top w:val="nil"/>
              <w:left w:val="nil"/>
              <w:bottom w:val="single" w:sz="4" w:space="0" w:color="auto"/>
              <w:right w:val="nil"/>
            </w:tcBorders>
            <w:vAlign w:val="center"/>
          </w:tcPr>
          <w:p w:rsidR="00E92DD2" w:rsidRPr="00A44FDB" w:rsidRDefault="00E92DD2" w:rsidP="008C0B03">
            <w:pPr>
              <w:jc w:val="center"/>
              <w:rPr>
                <w:rFonts w:eastAsia="Times New Roman"/>
                <w:color w:val="000000"/>
                <w:lang w:eastAsia="en-IE"/>
              </w:rPr>
            </w:pPr>
            <w:r w:rsidRPr="00A44FDB">
              <w:rPr>
                <w:rFonts w:eastAsia="Times New Roman"/>
                <w:color w:val="000000"/>
                <w:lang w:eastAsia="en-IE"/>
              </w:rPr>
              <w:t>#9</w:t>
            </w:r>
          </w:p>
        </w:tc>
        <w:tc>
          <w:tcPr>
            <w:tcW w:w="571"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p>
        </w:tc>
      </w:tr>
      <w:tr w:rsidR="00E92DD2" w:rsidRPr="00F17A05" w:rsidTr="00071BDC">
        <w:trPr>
          <w:trHeight w:val="285"/>
        </w:trPr>
        <w:tc>
          <w:tcPr>
            <w:tcW w:w="513" w:type="pct"/>
            <w:tcBorders>
              <w:top w:val="nil"/>
              <w:left w:val="single" w:sz="4" w:space="0" w:color="auto"/>
              <w:bottom w:val="single" w:sz="4" w:space="0" w:color="auto"/>
              <w:right w:val="nil"/>
            </w:tcBorders>
            <w:shd w:val="clear" w:color="auto" w:fill="auto"/>
            <w:noWrap/>
            <w:vAlign w:val="center"/>
            <w:hideMark/>
          </w:tcPr>
          <w:p w:rsidR="00E92DD2" w:rsidRPr="00A44FDB" w:rsidRDefault="00E92DD2" w:rsidP="008C0B03">
            <w:pPr>
              <w:jc w:val="right"/>
              <w:rPr>
                <w:rFonts w:eastAsia="Times New Roman"/>
                <w:color w:val="000000"/>
                <w:lang w:eastAsia="en-IE"/>
              </w:rPr>
            </w:pPr>
            <w:r w:rsidRPr="00A44FDB">
              <w:rPr>
                <w:rFonts w:eastAsia="Times New Roman"/>
                <w:color w:val="000000"/>
                <w:lang w:eastAsia="en-IE"/>
              </w:rPr>
              <w:t>ENAV15-</w:t>
            </w:r>
          </w:p>
        </w:tc>
        <w:tc>
          <w:tcPr>
            <w:tcW w:w="360" w:type="pct"/>
            <w:tcBorders>
              <w:top w:val="nil"/>
              <w:left w:val="nil"/>
              <w:bottom w:val="single" w:sz="4" w:space="0" w:color="auto"/>
              <w:right w:val="single" w:sz="4" w:space="0" w:color="auto"/>
            </w:tcBorders>
            <w:shd w:val="clear" w:color="auto" w:fill="auto"/>
            <w:noWrap/>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14.2.32</w:t>
            </w:r>
          </w:p>
        </w:tc>
        <w:tc>
          <w:tcPr>
            <w:tcW w:w="1360" w:type="pct"/>
            <w:tcBorders>
              <w:top w:val="nil"/>
              <w:left w:val="nil"/>
              <w:bottom w:val="single" w:sz="4" w:space="0" w:color="auto"/>
              <w:right w:val="single" w:sz="4" w:space="0" w:color="auto"/>
            </w:tcBorders>
            <w:shd w:val="clear" w:color="auto" w:fill="auto"/>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Relationship Between e-Navigation Technical Architecture Documents</w:t>
            </w:r>
          </w:p>
        </w:tc>
        <w:tc>
          <w:tcPr>
            <w:tcW w:w="1942"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r w:rsidRPr="00A44FDB">
              <w:rPr>
                <w:rFonts w:eastAsia="Times New Roman"/>
                <w:color w:val="000000"/>
                <w:lang w:eastAsia="en-IE"/>
              </w:rPr>
              <w:t>Absorbed into ENAV16-9.15 (#3)</w:t>
            </w:r>
          </w:p>
        </w:tc>
        <w:tc>
          <w:tcPr>
            <w:tcW w:w="254" w:type="pct"/>
            <w:tcBorders>
              <w:top w:val="nil"/>
              <w:left w:val="nil"/>
              <w:bottom w:val="single" w:sz="4" w:space="0" w:color="auto"/>
              <w:right w:val="nil"/>
            </w:tcBorders>
            <w:vAlign w:val="center"/>
          </w:tcPr>
          <w:p w:rsidR="00E92DD2" w:rsidRPr="00A44FDB" w:rsidRDefault="00E92DD2" w:rsidP="008C0B03">
            <w:pPr>
              <w:jc w:val="center"/>
              <w:rPr>
                <w:rFonts w:eastAsia="Times New Roman"/>
                <w:color w:val="000000"/>
                <w:lang w:eastAsia="en-IE"/>
              </w:rPr>
            </w:pPr>
            <w:r w:rsidRPr="00A44FDB">
              <w:rPr>
                <w:rFonts w:eastAsia="Times New Roman"/>
                <w:color w:val="000000"/>
                <w:lang w:eastAsia="en-IE"/>
              </w:rPr>
              <w:t>#10</w:t>
            </w:r>
          </w:p>
        </w:tc>
        <w:tc>
          <w:tcPr>
            <w:tcW w:w="571"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p>
        </w:tc>
      </w:tr>
      <w:tr w:rsidR="00E92DD2" w:rsidRPr="00F17A05" w:rsidTr="00071BDC">
        <w:trPr>
          <w:trHeight w:val="285"/>
        </w:trPr>
        <w:tc>
          <w:tcPr>
            <w:tcW w:w="513" w:type="pct"/>
            <w:tcBorders>
              <w:top w:val="nil"/>
              <w:left w:val="single" w:sz="4" w:space="0" w:color="auto"/>
              <w:bottom w:val="single" w:sz="4" w:space="0" w:color="auto"/>
              <w:right w:val="nil"/>
            </w:tcBorders>
            <w:shd w:val="clear" w:color="auto" w:fill="auto"/>
            <w:noWrap/>
            <w:vAlign w:val="center"/>
            <w:hideMark/>
          </w:tcPr>
          <w:p w:rsidR="00E92DD2" w:rsidRPr="00A44FDB" w:rsidRDefault="00E92DD2" w:rsidP="008C0B03">
            <w:pPr>
              <w:jc w:val="right"/>
              <w:rPr>
                <w:rFonts w:eastAsia="Times New Roman"/>
                <w:color w:val="000000"/>
                <w:lang w:eastAsia="en-IE"/>
              </w:rPr>
            </w:pPr>
            <w:r w:rsidRPr="00A44FDB">
              <w:rPr>
                <w:rFonts w:eastAsia="Times New Roman"/>
                <w:color w:val="000000"/>
                <w:lang w:eastAsia="en-IE"/>
              </w:rPr>
              <w:t>ENAV15-</w:t>
            </w:r>
          </w:p>
        </w:tc>
        <w:tc>
          <w:tcPr>
            <w:tcW w:w="360" w:type="pct"/>
            <w:tcBorders>
              <w:top w:val="nil"/>
              <w:left w:val="nil"/>
              <w:bottom w:val="single" w:sz="4" w:space="0" w:color="auto"/>
              <w:right w:val="single" w:sz="4" w:space="0" w:color="auto"/>
            </w:tcBorders>
            <w:shd w:val="clear" w:color="auto" w:fill="auto"/>
            <w:noWrap/>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14.2.33</w:t>
            </w:r>
          </w:p>
        </w:tc>
        <w:tc>
          <w:tcPr>
            <w:tcW w:w="1360" w:type="pct"/>
            <w:tcBorders>
              <w:top w:val="nil"/>
              <w:left w:val="nil"/>
              <w:bottom w:val="single" w:sz="4" w:space="0" w:color="auto"/>
              <w:right w:val="single" w:sz="4" w:space="0" w:color="auto"/>
            </w:tcBorders>
            <w:shd w:val="clear" w:color="auto" w:fill="auto"/>
            <w:vAlign w:val="center"/>
            <w:hideMark/>
          </w:tcPr>
          <w:p w:rsidR="00E92DD2" w:rsidRPr="00A44FDB" w:rsidRDefault="00E92DD2" w:rsidP="008C0B03">
            <w:pPr>
              <w:rPr>
                <w:rFonts w:eastAsia="Times New Roman"/>
                <w:color w:val="000000"/>
                <w:lang w:eastAsia="en-IE"/>
              </w:rPr>
            </w:pPr>
            <w:r w:rsidRPr="00A44FDB">
              <w:rPr>
                <w:rFonts w:eastAsia="Times New Roman"/>
                <w:color w:val="000000"/>
                <w:lang w:eastAsia="en-IE"/>
              </w:rPr>
              <w:t>Liaison note on e-NAV-140 to e-NAV regarding VTS38 9_2_8</w:t>
            </w:r>
          </w:p>
        </w:tc>
        <w:tc>
          <w:tcPr>
            <w:tcW w:w="1942"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r w:rsidRPr="00A44FDB">
              <w:rPr>
                <w:rFonts w:eastAsia="Times New Roman"/>
                <w:color w:val="000000"/>
                <w:lang w:eastAsia="en-IE"/>
              </w:rPr>
              <w:t>Absorbed into ENAV16-9.15 (#3)</w:t>
            </w:r>
          </w:p>
        </w:tc>
        <w:tc>
          <w:tcPr>
            <w:tcW w:w="254" w:type="pct"/>
            <w:tcBorders>
              <w:top w:val="nil"/>
              <w:left w:val="nil"/>
              <w:bottom w:val="single" w:sz="4" w:space="0" w:color="auto"/>
              <w:right w:val="nil"/>
            </w:tcBorders>
            <w:vAlign w:val="center"/>
          </w:tcPr>
          <w:p w:rsidR="00E92DD2" w:rsidRPr="00A44FDB" w:rsidRDefault="00E92DD2" w:rsidP="008C0B03">
            <w:pPr>
              <w:jc w:val="center"/>
              <w:rPr>
                <w:rFonts w:eastAsia="Times New Roman"/>
                <w:color w:val="000000"/>
                <w:lang w:eastAsia="en-IE"/>
              </w:rPr>
            </w:pPr>
            <w:r w:rsidRPr="00A44FDB">
              <w:rPr>
                <w:rFonts w:eastAsia="Times New Roman"/>
                <w:color w:val="000000"/>
                <w:lang w:eastAsia="en-IE"/>
              </w:rPr>
              <w:t>#11</w:t>
            </w:r>
          </w:p>
        </w:tc>
        <w:tc>
          <w:tcPr>
            <w:tcW w:w="571" w:type="pct"/>
            <w:tcBorders>
              <w:top w:val="nil"/>
              <w:left w:val="nil"/>
              <w:bottom w:val="single" w:sz="4" w:space="0" w:color="auto"/>
              <w:right w:val="nil"/>
            </w:tcBorders>
            <w:vAlign w:val="center"/>
          </w:tcPr>
          <w:p w:rsidR="00E92DD2" w:rsidRPr="00A44FDB" w:rsidRDefault="00E92DD2" w:rsidP="008C0B03">
            <w:pPr>
              <w:rPr>
                <w:rFonts w:eastAsia="Times New Roman"/>
                <w:color w:val="000000"/>
                <w:lang w:eastAsia="en-IE"/>
              </w:rPr>
            </w:pPr>
          </w:p>
        </w:tc>
      </w:tr>
    </w:tbl>
    <w:p w:rsidR="00A44FDB" w:rsidRDefault="00A44FDB" w:rsidP="00A446C9">
      <w:pPr>
        <w:pStyle w:val="BodyText"/>
        <w:sectPr w:rsidR="00A44FDB" w:rsidSect="00071BDC">
          <w:pgSz w:w="16838" w:h="11906" w:orient="landscape"/>
          <w:pgMar w:top="1134" w:right="1134" w:bottom="1134" w:left="1134" w:header="709" w:footer="709" w:gutter="0"/>
          <w:cols w:space="708"/>
          <w:docGrid w:linePitch="360"/>
        </w:sectPr>
      </w:pPr>
    </w:p>
    <w:p w:rsidR="00A446C9" w:rsidRDefault="00A446C9" w:rsidP="00A446C9">
      <w:pPr>
        <w:pStyle w:val="Heading1"/>
      </w:pPr>
      <w:r>
        <w:lastRenderedPageBreak/>
        <w:t>Discussion</w:t>
      </w:r>
    </w:p>
    <w:p w:rsidR="00F25BF4" w:rsidRDefault="00C917F0">
      <w:pPr>
        <w:pStyle w:val="BodyText"/>
      </w:pPr>
      <w:r>
        <w:t xml:space="preserve">This chapter </w:t>
      </w:r>
      <w:r w:rsidR="00A44FDB">
        <w:t xml:space="preserve">details </w:t>
      </w:r>
      <w:r>
        <w:t xml:space="preserve">the status of the </w:t>
      </w:r>
      <w:r w:rsidRPr="00A44FDB">
        <w:t>documents</w:t>
      </w:r>
      <w:r>
        <w:t xml:space="preserve"> </w:t>
      </w:r>
      <w:r w:rsidR="00A44FDB">
        <w:t xml:space="preserve">referenced in Section 1.2 </w:t>
      </w:r>
      <w:r>
        <w:t xml:space="preserve">and the work done on them intersessionally. </w:t>
      </w:r>
      <w:r w:rsidR="00A44FDB">
        <w:t>Documents in Section 3.1 are considered complete for submission to Council for approval</w:t>
      </w:r>
      <w:r w:rsidR="00815A34">
        <w:t xml:space="preserve"> while documents in Section 3.2 require further work at ENAV16.</w:t>
      </w:r>
    </w:p>
    <w:p w:rsidR="00F25BF4" w:rsidRDefault="00C917F0" w:rsidP="00F25BF4">
      <w:pPr>
        <w:pStyle w:val="Heading2"/>
      </w:pPr>
      <w:r>
        <w:t xml:space="preserve">Documents considered mature for </w:t>
      </w:r>
      <w:r w:rsidR="00A44FDB">
        <w:t>Council approval</w:t>
      </w:r>
    </w:p>
    <w:p w:rsidR="00293324" w:rsidRDefault="00293324" w:rsidP="00293324">
      <w:pPr>
        <w:pStyle w:val="Heading3"/>
        <w:rPr>
          <w:rFonts w:eastAsia="Times New Roman"/>
          <w:color w:val="000000"/>
          <w:lang w:eastAsia="en-IE"/>
        </w:rPr>
      </w:pPr>
      <w:r>
        <w:t>ENAV16-</w:t>
      </w:r>
      <w:r w:rsidR="00A44FDB">
        <w:t>9.14</w:t>
      </w:r>
      <w:r>
        <w:t xml:space="preserve"> (Draft Revision of IALA Recommendation e-NAV 140 on the Architecture for the Shore-based </w:t>
      </w:r>
      <w:r w:rsidRPr="00C917F0">
        <w:rPr>
          <w:rFonts w:eastAsia="Times New Roman"/>
          <w:color w:val="000000"/>
          <w:lang w:eastAsia="en-IE"/>
        </w:rPr>
        <w:t>Infrastructure ‘fit for e-Navigation’ (Ed. 2: 2015)</w:t>
      </w:r>
      <w:r>
        <w:rPr>
          <w:rFonts w:eastAsia="Times New Roman"/>
          <w:color w:val="000000"/>
          <w:lang w:eastAsia="en-IE"/>
        </w:rPr>
        <w:t>)</w:t>
      </w:r>
    </w:p>
    <w:p w:rsidR="00293324" w:rsidRDefault="00293324" w:rsidP="00293324">
      <w:pPr>
        <w:pStyle w:val="BodyText"/>
      </w:pPr>
      <w:r w:rsidRPr="00293324">
        <w:t xml:space="preserve">This draft revision has been amended by the CSSA Correspondence Group and with guidance received from the ENAV Committee Chair. The goal was to reflect the key principles </w:t>
      </w:r>
      <w:r>
        <w:t xml:space="preserve">regarding architecture for the shore-based infrastructure ‘fit for e-Navigation’ </w:t>
      </w:r>
      <w:r w:rsidRPr="00293324">
        <w:t>to IALA Membership in a short list.</w:t>
      </w:r>
    </w:p>
    <w:p w:rsidR="00293324" w:rsidRPr="00293324" w:rsidRDefault="00293324" w:rsidP="00293324">
      <w:pPr>
        <w:pStyle w:val="BodyText"/>
      </w:pPr>
    </w:p>
    <w:p w:rsidR="00293324" w:rsidRDefault="00293324" w:rsidP="00293324">
      <w:pPr>
        <w:pStyle w:val="Heading3"/>
      </w:pPr>
      <w:r>
        <w:t>ENAV16-</w:t>
      </w:r>
      <w:r w:rsidR="00A44FDB">
        <w:t>9.15</w:t>
      </w:r>
      <w:r>
        <w:t xml:space="preserve"> (Draft </w:t>
      </w:r>
      <w:r w:rsidRPr="00C917F0">
        <w:t>IALA Guideline [&lt;No x&gt;] on Design and Implementation Principles for harmonized System Architectures of Shore-based Infrastructure</w:t>
      </w:r>
      <w:r>
        <w:t>)</w:t>
      </w:r>
    </w:p>
    <w:p w:rsidR="00293324" w:rsidRDefault="00293324" w:rsidP="00293324">
      <w:pPr>
        <w:pStyle w:val="BodyText"/>
        <w:rPr>
          <w:rFonts w:eastAsia="Times New Roman"/>
          <w:color w:val="000000"/>
          <w:lang w:eastAsia="en-IE"/>
        </w:rPr>
      </w:pPr>
      <w:r w:rsidRPr="00293324">
        <w:rPr>
          <w:rFonts w:eastAsia="Times New Roman"/>
          <w:color w:val="000000"/>
          <w:lang w:eastAsia="en-IE"/>
        </w:rPr>
        <w:t>This draft IALA guideline was formerly the Annex to the previous draft revision of IALA Rec</w:t>
      </w:r>
      <w:r>
        <w:rPr>
          <w:rFonts w:eastAsia="Times New Roman"/>
          <w:color w:val="000000"/>
          <w:lang w:eastAsia="en-IE"/>
        </w:rPr>
        <w:t>ommendation</w:t>
      </w:r>
      <w:r w:rsidRPr="00293324">
        <w:rPr>
          <w:rFonts w:eastAsia="Times New Roman"/>
          <w:color w:val="000000"/>
          <w:lang w:eastAsia="en-IE"/>
        </w:rPr>
        <w:t xml:space="preserve"> e-NAV140 which has been sent from e-NAV14 (Sep. 2013) to PAP and all other Committees for their comments. It was updated by the CSSA Correspondence Group taking into account feedback received, latest developments at IMO (SIP+SMTS), and guidance received from ENAV Committee Chair. The goal was to provide an introductory description, as a ‘best practice,’  of how state-of-the-art system engineering principles can be brought together under and be harmonized with the aspirations of the holistic overarching architecture defined by IMO for e-Navigation.</w:t>
      </w:r>
    </w:p>
    <w:p w:rsidR="00293324" w:rsidRPr="00293324" w:rsidRDefault="00293324" w:rsidP="00293324">
      <w:pPr>
        <w:pStyle w:val="BodyText"/>
        <w:rPr>
          <w:lang w:eastAsia="de-DE"/>
        </w:rPr>
      </w:pPr>
    </w:p>
    <w:p w:rsidR="00293324" w:rsidRDefault="00293324" w:rsidP="00293324">
      <w:pPr>
        <w:pStyle w:val="Heading3"/>
      </w:pPr>
      <w:r>
        <w:t>ENAV16-</w:t>
      </w:r>
      <w:r w:rsidR="00A44FDB">
        <w:t>9.16</w:t>
      </w:r>
      <w:r>
        <w:t xml:space="preserve"> (Draft </w:t>
      </w:r>
      <w:r w:rsidRPr="00C917F0">
        <w:t>IALA Guideline [&lt;No x+1&gt;] on a Technical Specification for the Common Shore-based System Architecture (CSSA)</w:t>
      </w:r>
      <w:r>
        <w:t>)</w:t>
      </w:r>
    </w:p>
    <w:p w:rsidR="00293324" w:rsidRDefault="00293324" w:rsidP="00293324">
      <w:pPr>
        <w:pStyle w:val="BodyText"/>
        <w:rPr>
          <w:rFonts w:eastAsia="Times New Roman"/>
          <w:color w:val="000000"/>
          <w:lang w:eastAsia="en-IE"/>
        </w:rPr>
      </w:pPr>
      <w:r w:rsidRPr="00293324">
        <w:rPr>
          <w:rFonts w:eastAsia="Times New Roman"/>
          <w:color w:val="000000"/>
          <w:lang w:eastAsia="en-IE"/>
        </w:rPr>
        <w:t xml:space="preserve">This draft IALA guideline was created from the previous draft new Recommendation on the CSSA system layout which has originally been sent from e-NAV14 (Sept. 2013) to PAP and all other Committees for their comments.  It was updated by the CSSA Correspondence Group taking into account feedback received, latest developments at IMO (SIP), and guidance received from ENAV Committee Chair. The goal was to provide a technical specification, as a ‘best </w:t>
      </w:r>
      <w:r w:rsidR="00815A34" w:rsidRPr="00293324">
        <w:rPr>
          <w:rFonts w:eastAsia="Times New Roman"/>
          <w:color w:val="000000"/>
          <w:lang w:eastAsia="en-IE"/>
        </w:rPr>
        <w:t>practice,’ of</w:t>
      </w:r>
      <w:r w:rsidRPr="00293324">
        <w:rPr>
          <w:rFonts w:eastAsia="Times New Roman"/>
          <w:color w:val="000000"/>
          <w:lang w:eastAsia="en-IE"/>
        </w:rPr>
        <w:t xml:space="preserve"> how IALA members could set up (as national members) or contribute to such systems (as industrial members) within a common system engineering reference framework. </w:t>
      </w:r>
    </w:p>
    <w:p w:rsidR="00A47D5E" w:rsidRDefault="00293324" w:rsidP="00293324">
      <w:pPr>
        <w:pStyle w:val="BodyText"/>
        <w:rPr>
          <w:rFonts w:eastAsia="Times New Roman"/>
          <w:color w:val="000000"/>
          <w:lang w:eastAsia="en-IE"/>
        </w:rPr>
      </w:pPr>
      <w:r w:rsidRPr="00293324">
        <w:rPr>
          <w:rFonts w:eastAsia="Times New Roman"/>
          <w:color w:val="000000"/>
          <w:lang w:eastAsia="en-IE"/>
        </w:rPr>
        <w:t xml:space="preserve">It should particularly be noted by the ENAV-Committee, that the CSSA Correspondence Group created, </w:t>
      </w:r>
      <w:r w:rsidRPr="00293324">
        <w:rPr>
          <w:rFonts w:eastAsia="Times New Roman"/>
          <w:i/>
          <w:color w:val="000000"/>
          <w:lang w:eastAsia="en-IE"/>
        </w:rPr>
        <w:t>as Appendix 1</w:t>
      </w:r>
      <w:r w:rsidRPr="00293324">
        <w:rPr>
          <w:rFonts w:eastAsia="Times New Roman"/>
          <w:color w:val="000000"/>
          <w:lang w:eastAsia="en-IE"/>
        </w:rPr>
        <w:t xml:space="preserve"> and in liaison with the </w:t>
      </w:r>
      <w:r w:rsidR="00B92E72" w:rsidRPr="00293324">
        <w:rPr>
          <w:rFonts w:eastAsia="Times New Roman"/>
          <w:color w:val="000000"/>
          <w:lang w:eastAsia="en-IE"/>
        </w:rPr>
        <w:t>ACCSEAS project</w:t>
      </w:r>
      <w:r w:rsidRPr="00293324">
        <w:rPr>
          <w:rFonts w:eastAsia="Times New Roman"/>
          <w:color w:val="000000"/>
          <w:lang w:eastAsia="en-IE"/>
        </w:rPr>
        <w:t xml:space="preserve"> and Danish Maritime Authority, an ‘Application Note on the support of the CSSA for the Maritime Service Portfolios (MSPs) and for the ‘Maritime Cloud.’ The goal of this application note was to </w:t>
      </w:r>
      <w:r w:rsidRPr="00293324">
        <w:rPr>
          <w:rFonts w:eastAsia="Times New Roman"/>
          <w:i/>
          <w:color w:val="000000"/>
          <w:lang w:eastAsia="en-IE"/>
        </w:rPr>
        <w:t>demonstrate</w:t>
      </w:r>
      <w:r w:rsidR="00A47D5E">
        <w:rPr>
          <w:rFonts w:eastAsia="Times New Roman"/>
          <w:i/>
          <w:color w:val="000000"/>
          <w:lang w:eastAsia="en-IE"/>
        </w:rPr>
        <w:t>, not just generally but in specific system engineering terms,</w:t>
      </w:r>
      <w:r w:rsidRPr="00293324">
        <w:rPr>
          <w:rFonts w:eastAsia="Times New Roman"/>
          <w:color w:val="000000"/>
          <w:lang w:eastAsia="en-IE"/>
        </w:rPr>
        <w:t xml:space="preserve"> how the notions of the CSSA, MSPs and Maritime Cloud can be harmonized and how the notions of the MSPs and MC may benefit from CSSA. </w:t>
      </w:r>
    </w:p>
    <w:p w:rsidR="00293324" w:rsidRPr="00293324" w:rsidRDefault="00A47D5E" w:rsidP="00293324">
      <w:pPr>
        <w:pStyle w:val="BodyText"/>
        <w:rPr>
          <w:lang w:eastAsia="de-DE"/>
        </w:rPr>
      </w:pPr>
      <w:r>
        <w:rPr>
          <w:rFonts w:eastAsia="Times New Roman"/>
          <w:color w:val="000000"/>
          <w:lang w:eastAsia="en-IE"/>
        </w:rPr>
        <w:t xml:space="preserve">As the Appendix 1 is in fact an </w:t>
      </w:r>
      <w:r w:rsidRPr="003D408D">
        <w:rPr>
          <w:rFonts w:eastAsia="Times New Roman"/>
          <w:i/>
          <w:color w:val="000000"/>
          <w:lang w:eastAsia="en-IE"/>
        </w:rPr>
        <w:t>application note</w:t>
      </w:r>
      <w:r>
        <w:rPr>
          <w:rFonts w:eastAsia="Times New Roman"/>
          <w:color w:val="000000"/>
          <w:lang w:eastAsia="en-IE"/>
        </w:rPr>
        <w:t xml:space="preserve"> of the CSSA, demonstrating its potential in a given example, and since there are expected to be additional, similar application notes in the future</w:t>
      </w:r>
      <w:r w:rsidR="001517FC">
        <w:rPr>
          <w:rFonts w:eastAsia="Times New Roman"/>
          <w:color w:val="000000"/>
          <w:lang w:eastAsia="en-IE"/>
        </w:rPr>
        <w:t>,</w:t>
      </w:r>
      <w:r>
        <w:rPr>
          <w:rFonts w:eastAsia="Times New Roman"/>
          <w:color w:val="000000"/>
          <w:lang w:eastAsia="en-IE"/>
        </w:rPr>
        <w:t xml:space="preserve"> some topics of which have already been identified, it may be advisable </w:t>
      </w:r>
      <w:r w:rsidR="001517FC">
        <w:rPr>
          <w:rFonts w:eastAsia="Times New Roman"/>
          <w:color w:val="000000"/>
          <w:lang w:eastAsia="en-IE"/>
        </w:rPr>
        <w:t>that</w:t>
      </w:r>
      <w:r w:rsidR="001517FC" w:rsidRPr="00293324">
        <w:rPr>
          <w:rFonts w:eastAsia="Times New Roman"/>
          <w:color w:val="000000"/>
          <w:lang w:eastAsia="en-IE"/>
        </w:rPr>
        <w:t xml:space="preserve"> the</w:t>
      </w:r>
      <w:r w:rsidR="00293324" w:rsidRPr="00293324">
        <w:rPr>
          <w:rFonts w:eastAsia="Times New Roman"/>
          <w:color w:val="000000"/>
          <w:lang w:eastAsia="en-IE"/>
        </w:rPr>
        <w:t xml:space="preserve"> present Appendix 1 </w:t>
      </w:r>
      <w:r>
        <w:rPr>
          <w:rFonts w:eastAsia="Times New Roman"/>
          <w:color w:val="000000"/>
          <w:lang w:eastAsia="en-IE"/>
        </w:rPr>
        <w:t>is</w:t>
      </w:r>
      <w:r w:rsidRPr="00293324">
        <w:rPr>
          <w:rFonts w:eastAsia="Times New Roman"/>
          <w:color w:val="000000"/>
          <w:lang w:eastAsia="en-IE"/>
        </w:rPr>
        <w:t xml:space="preserve"> </w:t>
      </w:r>
      <w:r w:rsidR="00293324" w:rsidRPr="00293324">
        <w:rPr>
          <w:rFonts w:eastAsia="Times New Roman"/>
          <w:color w:val="000000"/>
          <w:lang w:eastAsia="en-IE"/>
        </w:rPr>
        <w:t>lifted out into a stand-alone IALA guideline with the same title</w:t>
      </w:r>
      <w:r>
        <w:rPr>
          <w:rFonts w:eastAsia="Times New Roman"/>
          <w:color w:val="000000"/>
          <w:lang w:eastAsia="en-IE"/>
        </w:rPr>
        <w:t>, should the ENAV Committee so desire</w:t>
      </w:r>
      <w:r w:rsidR="00293324" w:rsidRPr="00293324">
        <w:rPr>
          <w:rFonts w:eastAsia="Times New Roman"/>
          <w:color w:val="000000"/>
          <w:lang w:eastAsia="en-IE"/>
        </w:rPr>
        <w:t>.</w:t>
      </w:r>
    </w:p>
    <w:p w:rsidR="00293324" w:rsidRPr="00293324" w:rsidRDefault="00293324" w:rsidP="00293324">
      <w:pPr>
        <w:pStyle w:val="BodyText"/>
        <w:rPr>
          <w:lang w:eastAsia="de-DE"/>
        </w:rPr>
      </w:pPr>
    </w:p>
    <w:p w:rsidR="00293324" w:rsidRDefault="00293324" w:rsidP="00293324">
      <w:pPr>
        <w:pStyle w:val="Heading3"/>
      </w:pPr>
      <w:r w:rsidRPr="00C917F0">
        <w:t>ENAV16-</w:t>
      </w:r>
      <w:r w:rsidR="00815A34">
        <w:t>9.17</w:t>
      </w:r>
      <w:r>
        <w:t xml:space="preserve"> (</w:t>
      </w:r>
      <w:r w:rsidRPr="00C917F0">
        <w:t>Draft IALA Guideline [&lt;No x+2&gt;] on a Technical Specification for a CSSA Generic Service Engineering Model</w:t>
      </w:r>
      <w:r>
        <w:t xml:space="preserve">; main body) plus select mature </w:t>
      </w:r>
      <w:r w:rsidRPr="00C917F0">
        <w:t>appendices (ENAV16-</w:t>
      </w:r>
      <w:r w:rsidR="00815A34">
        <w:t>9.18</w:t>
      </w:r>
      <w:r w:rsidRPr="00C917F0">
        <w:t>)</w:t>
      </w:r>
      <w:r>
        <w:t xml:space="preserve"> as indicated by the </w:t>
      </w:r>
      <w:r w:rsidR="00815A34">
        <w:t xml:space="preserve">CSSA </w:t>
      </w:r>
      <w:r>
        <w:t>workplan (ENAV16-</w:t>
      </w:r>
      <w:r w:rsidR="00815A34">
        <w:t>9.19</w:t>
      </w:r>
      <w:r>
        <w:t>)</w:t>
      </w:r>
    </w:p>
    <w:p w:rsidR="000B2C31" w:rsidRDefault="00293324" w:rsidP="00293324">
      <w:pPr>
        <w:pStyle w:val="BodyText"/>
        <w:rPr>
          <w:rFonts w:eastAsia="Times New Roman"/>
          <w:color w:val="000000"/>
          <w:lang w:eastAsia="en-IE"/>
        </w:rPr>
      </w:pPr>
      <w:r w:rsidRPr="00293324">
        <w:rPr>
          <w:rFonts w:eastAsia="Times New Roman"/>
          <w:color w:val="000000"/>
          <w:lang w:eastAsia="en-IE"/>
        </w:rPr>
        <w:t xml:space="preserve">This draft guideline is a progressed version of the previous draft new Recommendation on the same topic, which in turn was progressed at the IALA CSSA Workshop in Hamburg 2014 using </w:t>
      </w:r>
      <w:r w:rsidRPr="00293324">
        <w:rPr>
          <w:rFonts w:eastAsia="Times New Roman"/>
          <w:color w:val="000000"/>
          <w:lang w:eastAsia="en-IE"/>
        </w:rPr>
        <w:lastRenderedPageBreak/>
        <w:t xml:space="preserve">long established work of the former e-NAV Committee. It was updated by the CSSA Correspondence Group taking into account feedback received, latest developments and guidance received from ENAV Committee Chair. The goal was to provide a technical specification, as a ‘best </w:t>
      </w:r>
      <w:r w:rsidR="00E92DD2" w:rsidRPr="00293324">
        <w:rPr>
          <w:rFonts w:eastAsia="Times New Roman"/>
          <w:color w:val="000000"/>
          <w:lang w:eastAsia="en-IE"/>
        </w:rPr>
        <w:t>practice,’ of</w:t>
      </w:r>
      <w:r w:rsidRPr="00293324">
        <w:rPr>
          <w:rFonts w:eastAsia="Times New Roman"/>
          <w:color w:val="000000"/>
          <w:lang w:eastAsia="en-IE"/>
        </w:rPr>
        <w:t xml:space="preserve"> how IALA members could set up (as national members) or contribute to such services (as industrial members) within a CSSA. </w:t>
      </w:r>
    </w:p>
    <w:p w:rsidR="00293324" w:rsidRPr="00293324" w:rsidRDefault="00293324" w:rsidP="00293324">
      <w:pPr>
        <w:pStyle w:val="BodyText"/>
        <w:rPr>
          <w:lang w:eastAsia="de-DE"/>
        </w:rPr>
      </w:pPr>
      <w:r w:rsidRPr="00293324">
        <w:rPr>
          <w:rFonts w:eastAsia="Times New Roman"/>
          <w:color w:val="000000"/>
          <w:lang w:eastAsia="en-IE"/>
        </w:rPr>
        <w:t xml:space="preserve">It should be noted that the present IALA Recommendation A.124 on the shore based AIS Service was already created </w:t>
      </w:r>
      <w:r w:rsidR="000B2C31">
        <w:rPr>
          <w:rFonts w:eastAsia="Times New Roman"/>
          <w:color w:val="000000"/>
          <w:lang w:eastAsia="en-IE"/>
        </w:rPr>
        <w:t xml:space="preserve">in accordance with </w:t>
      </w:r>
      <w:r w:rsidRPr="00293324">
        <w:rPr>
          <w:rFonts w:eastAsia="Times New Roman"/>
          <w:color w:val="000000"/>
          <w:lang w:eastAsia="en-IE"/>
        </w:rPr>
        <w:t xml:space="preserve">the line of thought described herein, as this </w:t>
      </w:r>
      <w:r w:rsidR="00F542F4">
        <w:rPr>
          <w:rFonts w:eastAsia="Times New Roman"/>
          <w:color w:val="000000"/>
          <w:lang w:eastAsia="en-IE"/>
        </w:rPr>
        <w:t>has been</w:t>
      </w:r>
      <w:r w:rsidR="00F542F4" w:rsidRPr="00293324">
        <w:rPr>
          <w:rFonts w:eastAsia="Times New Roman"/>
          <w:color w:val="000000"/>
          <w:lang w:eastAsia="en-IE"/>
        </w:rPr>
        <w:t xml:space="preserve"> </w:t>
      </w:r>
      <w:r w:rsidRPr="00293324">
        <w:rPr>
          <w:rFonts w:eastAsia="Times New Roman"/>
          <w:color w:val="000000"/>
          <w:lang w:eastAsia="en-IE"/>
        </w:rPr>
        <w:t>available to the former e-NAV Committee for a long time.</w:t>
      </w:r>
    </w:p>
    <w:p w:rsidR="00C917F0" w:rsidRDefault="00C917F0" w:rsidP="00C917F0">
      <w:pPr>
        <w:pStyle w:val="BodyText"/>
      </w:pPr>
    </w:p>
    <w:p w:rsidR="00C917F0" w:rsidRDefault="00C917F0" w:rsidP="00C917F0">
      <w:pPr>
        <w:pStyle w:val="Heading2"/>
      </w:pPr>
      <w:r>
        <w:t>Documents with additional work needed after ENAV16</w:t>
      </w:r>
    </w:p>
    <w:p w:rsidR="00293324" w:rsidRDefault="00293324" w:rsidP="00293324">
      <w:pPr>
        <w:pStyle w:val="Heading3"/>
      </w:pPr>
      <w:r w:rsidRPr="00C917F0">
        <w:t>ENAV16</w:t>
      </w:r>
      <w:r w:rsidR="00285583">
        <w:t>-9.</w:t>
      </w:r>
      <w:r w:rsidR="00815A34">
        <w:t>18</w:t>
      </w:r>
      <w:r>
        <w:t xml:space="preserve"> select </w:t>
      </w:r>
      <w:r w:rsidRPr="00C917F0">
        <w:t xml:space="preserve">appendices </w:t>
      </w:r>
      <w:r>
        <w:t xml:space="preserve">to </w:t>
      </w:r>
      <w:r w:rsidRPr="00C917F0">
        <w:t>Draft IALA Guideline [&lt;No x+2&gt;] on a Technical Specification for a CSSA Generic Service Engineering Model</w:t>
      </w:r>
      <w:r>
        <w:t xml:space="preserve">, as indicated by the </w:t>
      </w:r>
      <w:r w:rsidR="00815A34">
        <w:t xml:space="preserve">CSSA </w:t>
      </w:r>
      <w:r>
        <w:t>workplan (ENAV16-</w:t>
      </w:r>
      <w:r w:rsidR="00815A34">
        <w:t>9.19</w:t>
      </w:r>
      <w:r>
        <w:t>)</w:t>
      </w:r>
    </w:p>
    <w:p w:rsidR="00293324" w:rsidRDefault="000B2C31" w:rsidP="00293324">
      <w:pPr>
        <w:pStyle w:val="BodyText"/>
        <w:rPr>
          <w:lang w:eastAsia="de-DE"/>
        </w:rPr>
      </w:pPr>
      <w:r>
        <w:rPr>
          <w:lang w:eastAsia="de-DE"/>
        </w:rPr>
        <w:t>The CSSA generic service engineering model</w:t>
      </w:r>
      <w:r w:rsidR="00285583">
        <w:rPr>
          <w:lang w:eastAsia="de-DE"/>
        </w:rPr>
        <w:t>, once finali</w:t>
      </w:r>
      <w:r w:rsidR="00F542F4">
        <w:rPr>
          <w:lang w:eastAsia="de-DE"/>
        </w:rPr>
        <w:t>s</w:t>
      </w:r>
      <w:r w:rsidR="00285583">
        <w:rPr>
          <w:lang w:eastAsia="de-DE"/>
        </w:rPr>
        <w:t>ed,</w:t>
      </w:r>
      <w:r>
        <w:rPr>
          <w:lang w:eastAsia="de-DE"/>
        </w:rPr>
        <w:t xml:space="preserve"> </w:t>
      </w:r>
      <w:r w:rsidR="00285583">
        <w:rPr>
          <w:lang w:eastAsia="de-DE"/>
        </w:rPr>
        <w:t>will introduce</w:t>
      </w:r>
      <w:r>
        <w:rPr>
          <w:lang w:eastAsia="de-DE"/>
        </w:rPr>
        <w:t xml:space="preserve"> in particular the </w:t>
      </w:r>
      <w:r w:rsidR="00285583">
        <w:rPr>
          <w:lang w:eastAsia="de-DE"/>
        </w:rPr>
        <w:t>generic system engineering foundation</w:t>
      </w:r>
      <w:r>
        <w:rPr>
          <w:lang w:eastAsia="de-DE"/>
        </w:rPr>
        <w:t xml:space="preserve"> and the relevant </w:t>
      </w:r>
      <w:r w:rsidR="00285583">
        <w:rPr>
          <w:lang w:eastAsia="de-DE"/>
        </w:rPr>
        <w:t xml:space="preserve">generic </w:t>
      </w:r>
      <w:r>
        <w:rPr>
          <w:lang w:eastAsia="de-DE"/>
        </w:rPr>
        <w:t xml:space="preserve">methodologies for comprehensive life-cycle management </w:t>
      </w:r>
      <w:r w:rsidR="00285583">
        <w:rPr>
          <w:lang w:eastAsia="de-DE"/>
        </w:rPr>
        <w:t>of a shore-based technical service operated by</w:t>
      </w:r>
      <w:r w:rsidR="00F542F4">
        <w:rPr>
          <w:lang w:eastAsia="de-DE"/>
        </w:rPr>
        <w:t xml:space="preserve"> </w:t>
      </w:r>
      <w:r w:rsidR="00285583">
        <w:rPr>
          <w:lang w:eastAsia="de-DE"/>
        </w:rPr>
        <w:t>an IALA national member. This would require incorporat</w:t>
      </w:r>
      <w:r w:rsidR="00F542F4">
        <w:rPr>
          <w:lang w:eastAsia="de-DE"/>
        </w:rPr>
        <w:t>ion</w:t>
      </w:r>
      <w:r w:rsidR="00285583">
        <w:rPr>
          <w:lang w:eastAsia="de-DE"/>
        </w:rPr>
        <w:t>, by applica</w:t>
      </w:r>
      <w:r w:rsidR="00CD6600">
        <w:rPr>
          <w:lang w:eastAsia="de-DE"/>
        </w:rPr>
        <w:t>tion to the maritime/</w:t>
      </w:r>
      <w:r w:rsidR="00285583">
        <w:rPr>
          <w:lang w:eastAsia="de-DE"/>
        </w:rPr>
        <w:t xml:space="preserve">AtoN domain, </w:t>
      </w:r>
      <w:r w:rsidR="00F542F4">
        <w:rPr>
          <w:lang w:eastAsia="de-DE"/>
        </w:rPr>
        <w:t xml:space="preserve">of </w:t>
      </w:r>
      <w:r w:rsidR="00285583">
        <w:rPr>
          <w:lang w:eastAsia="de-DE"/>
        </w:rPr>
        <w:t>state-of-the-art generic life-cycle management concepts for service-oriented architectures, such as ITIL V3. It has been recogni</w:t>
      </w:r>
      <w:r w:rsidR="00F542F4">
        <w:rPr>
          <w:lang w:eastAsia="de-DE"/>
        </w:rPr>
        <w:t>s</w:t>
      </w:r>
      <w:r w:rsidR="00285583">
        <w:rPr>
          <w:lang w:eastAsia="de-DE"/>
        </w:rPr>
        <w:t xml:space="preserve">ed by the IALA CSSA Workshop in Hamburg 2014, when embarking on this work, that this cannot be done </w:t>
      </w:r>
      <w:r w:rsidR="00F542F4">
        <w:rPr>
          <w:lang w:eastAsia="de-DE"/>
        </w:rPr>
        <w:t xml:space="preserve">at </w:t>
      </w:r>
      <w:r w:rsidR="00285583">
        <w:rPr>
          <w:lang w:eastAsia="de-DE"/>
        </w:rPr>
        <w:t>short notice. On the other hand, it was recogni</w:t>
      </w:r>
      <w:r w:rsidR="00F542F4">
        <w:rPr>
          <w:lang w:eastAsia="de-DE"/>
        </w:rPr>
        <w:t>s</w:t>
      </w:r>
      <w:r w:rsidR="00285583">
        <w:rPr>
          <w:lang w:eastAsia="de-DE"/>
        </w:rPr>
        <w:t xml:space="preserve">ed that the </w:t>
      </w:r>
      <w:r w:rsidR="00CD6600">
        <w:rPr>
          <w:lang w:eastAsia="de-DE"/>
        </w:rPr>
        <w:t xml:space="preserve">already </w:t>
      </w:r>
      <w:r w:rsidR="00285583">
        <w:rPr>
          <w:lang w:eastAsia="de-DE"/>
        </w:rPr>
        <w:t xml:space="preserve">well developed and mature Appendices need to be released in order not to withhold relevant information from IALA membership. As a conclusion of both considerations, ENAV15 identified the Appendices which would need further work beyond ENAV16 as indicated in the workplan. Hence, at ENAV16, once the work as described in previous sections </w:t>
      </w:r>
      <w:r w:rsidR="00F542F4">
        <w:rPr>
          <w:lang w:eastAsia="de-DE"/>
        </w:rPr>
        <w:t xml:space="preserve">has </w:t>
      </w:r>
      <w:r w:rsidR="00285583">
        <w:rPr>
          <w:lang w:eastAsia="de-DE"/>
        </w:rPr>
        <w:t xml:space="preserve">been completed, the execution of the workplan </w:t>
      </w:r>
      <w:r w:rsidR="00F542F4">
        <w:rPr>
          <w:lang w:eastAsia="de-DE"/>
        </w:rPr>
        <w:t xml:space="preserve">with </w:t>
      </w:r>
      <w:r w:rsidR="00285583">
        <w:rPr>
          <w:lang w:eastAsia="de-DE"/>
        </w:rPr>
        <w:t>regard to the remaining Appendices needing additional work need</w:t>
      </w:r>
      <w:r w:rsidR="00F542F4">
        <w:rPr>
          <w:lang w:eastAsia="de-DE"/>
        </w:rPr>
        <w:t>s</w:t>
      </w:r>
      <w:r w:rsidR="00285583">
        <w:rPr>
          <w:lang w:eastAsia="de-DE"/>
        </w:rPr>
        <w:t xml:space="preserve"> to be considered and planned.</w:t>
      </w:r>
    </w:p>
    <w:p w:rsidR="00285583" w:rsidRPr="00293324" w:rsidRDefault="00285583" w:rsidP="00293324">
      <w:pPr>
        <w:pStyle w:val="BodyText"/>
        <w:rPr>
          <w:lang w:eastAsia="de-DE"/>
        </w:rPr>
      </w:pPr>
    </w:p>
    <w:p w:rsidR="00293324" w:rsidRPr="00293324" w:rsidRDefault="00293324" w:rsidP="00293324">
      <w:pPr>
        <w:pStyle w:val="Heading3"/>
      </w:pPr>
      <w:r>
        <w:t>ENAV16-</w:t>
      </w:r>
      <w:r w:rsidR="00285583">
        <w:t>9.</w:t>
      </w:r>
      <w:r w:rsidR="00815A34">
        <w:t>20</w:t>
      </w:r>
      <w:r>
        <w:t xml:space="preserve">: </w:t>
      </w:r>
      <w:r w:rsidRPr="00293324">
        <w:t xml:space="preserve">Draft IALA Guideline [&lt;No x+3&gt;] on M2M Interfacing within the Common Shore-based </w:t>
      </w:r>
      <w:r w:rsidRPr="00293324">
        <w:rPr>
          <w:lang w:eastAsia="en-IE"/>
        </w:rPr>
        <w:t>System</w:t>
      </w:r>
      <w:r w:rsidRPr="00293324">
        <w:t xml:space="preserve"> (CSS)</w:t>
      </w:r>
    </w:p>
    <w:p w:rsidR="00293324" w:rsidRDefault="00293324" w:rsidP="00C917F0">
      <w:pPr>
        <w:pStyle w:val="BodyText"/>
        <w:rPr>
          <w:rFonts w:eastAsia="Times New Roman"/>
          <w:color w:val="000000"/>
          <w:lang w:eastAsia="en-IE"/>
        </w:rPr>
      </w:pPr>
      <w:r w:rsidRPr="00293324">
        <w:rPr>
          <w:rFonts w:eastAsia="Times New Roman"/>
          <w:color w:val="000000"/>
          <w:lang w:eastAsia="en-IE"/>
        </w:rPr>
        <w:t>This draft guideline is a progressed version of the previous draft created at ENAV15</w:t>
      </w:r>
      <w:r>
        <w:rPr>
          <w:rFonts w:eastAsia="Times New Roman"/>
          <w:color w:val="000000"/>
          <w:lang w:eastAsia="en-IE"/>
        </w:rPr>
        <w:t xml:space="preserve"> (ENAV15-14.2.29)</w:t>
      </w:r>
      <w:r w:rsidRPr="00293324">
        <w:rPr>
          <w:rFonts w:eastAsia="Times New Roman"/>
          <w:color w:val="000000"/>
          <w:lang w:eastAsia="en-IE"/>
        </w:rPr>
        <w:t>. It was updated by the CSSA Correspondence Group taking into account feedback received and incorporates proposals for M2M interfacing techniques</w:t>
      </w:r>
      <w:r>
        <w:rPr>
          <w:rFonts w:eastAsia="Times New Roman"/>
          <w:color w:val="000000"/>
          <w:lang w:eastAsia="en-IE"/>
        </w:rPr>
        <w:t xml:space="preserve"> (e.g. ENAV15-14.2.30)</w:t>
      </w:r>
      <w:r w:rsidRPr="00293324">
        <w:rPr>
          <w:rFonts w:eastAsia="Times New Roman"/>
          <w:color w:val="000000"/>
          <w:lang w:eastAsia="en-IE"/>
        </w:rPr>
        <w:t xml:space="preserve">. </w:t>
      </w:r>
    </w:p>
    <w:p w:rsidR="00C917F0" w:rsidRDefault="00293324" w:rsidP="00C917F0">
      <w:pPr>
        <w:pStyle w:val="BodyText"/>
        <w:rPr>
          <w:rFonts w:eastAsia="Times New Roman"/>
          <w:color w:val="000000"/>
          <w:lang w:eastAsia="en-IE"/>
        </w:rPr>
      </w:pPr>
      <w:r w:rsidRPr="00293324">
        <w:rPr>
          <w:rFonts w:eastAsia="Times New Roman"/>
          <w:color w:val="000000"/>
          <w:lang w:eastAsia="en-IE"/>
        </w:rPr>
        <w:t>The goal was to provide a technical specification, as a ‘best practice,’</w:t>
      </w:r>
      <w:r>
        <w:rPr>
          <w:rFonts w:eastAsia="Times New Roman"/>
          <w:color w:val="000000"/>
          <w:lang w:eastAsia="en-IE"/>
        </w:rPr>
        <w:t xml:space="preserve"> </w:t>
      </w:r>
      <w:r w:rsidRPr="00293324">
        <w:rPr>
          <w:rFonts w:eastAsia="Times New Roman"/>
          <w:color w:val="000000"/>
          <w:lang w:eastAsia="en-IE"/>
        </w:rPr>
        <w:t>of how harmonized M2M interfacing within a CSSA could be done.</w:t>
      </w:r>
    </w:p>
    <w:p w:rsidR="00CD6600" w:rsidRDefault="00CD6600" w:rsidP="003D408D">
      <w:pPr>
        <w:pStyle w:val="Heading2"/>
        <w:rPr>
          <w:lang w:eastAsia="en-IE"/>
        </w:rPr>
      </w:pPr>
      <w:r>
        <w:rPr>
          <w:lang w:eastAsia="en-IE"/>
        </w:rPr>
        <w:t>Summary</w:t>
      </w:r>
    </w:p>
    <w:p w:rsidR="00815A34" w:rsidRDefault="00B92E72" w:rsidP="00C917F0">
      <w:pPr>
        <w:pStyle w:val="BodyText"/>
        <w:rPr>
          <w:rFonts w:eastAsia="Times New Roman"/>
          <w:color w:val="000000"/>
          <w:lang w:eastAsia="en-IE"/>
        </w:rPr>
      </w:pPr>
      <w:r>
        <w:rPr>
          <w:rFonts w:eastAsia="Times New Roman"/>
          <w:color w:val="000000"/>
          <w:lang w:eastAsia="en-IE"/>
        </w:rPr>
        <w:fldChar w:fldCharType="begin"/>
      </w:r>
      <w:r>
        <w:rPr>
          <w:rFonts w:eastAsia="Times New Roman"/>
          <w:color w:val="000000"/>
          <w:lang w:eastAsia="en-IE"/>
        </w:rPr>
        <w:instrText xml:space="preserve"> REF _Ref413248916 \r \h </w:instrText>
      </w:r>
      <w:r>
        <w:rPr>
          <w:rFonts w:eastAsia="Times New Roman"/>
          <w:color w:val="000000"/>
          <w:lang w:eastAsia="en-IE"/>
        </w:rPr>
      </w:r>
      <w:r>
        <w:rPr>
          <w:rFonts w:eastAsia="Times New Roman"/>
          <w:color w:val="000000"/>
          <w:lang w:eastAsia="en-IE"/>
        </w:rPr>
        <w:fldChar w:fldCharType="separate"/>
      </w:r>
      <w:r>
        <w:rPr>
          <w:rFonts w:eastAsia="Times New Roman"/>
          <w:color w:val="000000"/>
          <w:lang w:eastAsia="en-IE"/>
        </w:rPr>
        <w:t>Figure 1</w:t>
      </w:r>
      <w:r>
        <w:rPr>
          <w:rFonts w:eastAsia="Times New Roman"/>
          <w:color w:val="000000"/>
          <w:lang w:eastAsia="en-IE"/>
        </w:rPr>
        <w:fldChar w:fldCharType="end"/>
      </w:r>
      <w:r>
        <w:rPr>
          <w:rFonts w:eastAsia="Times New Roman"/>
          <w:color w:val="000000"/>
          <w:lang w:eastAsia="en-IE"/>
        </w:rPr>
        <w:t xml:space="preserve"> </w:t>
      </w:r>
      <w:r w:rsidR="00815A34">
        <w:rPr>
          <w:rFonts w:eastAsia="Times New Roman"/>
          <w:color w:val="000000"/>
          <w:lang w:eastAsia="en-IE"/>
        </w:rPr>
        <w:t>shows a summary of the documents in graphical form. Boxes in green are considered complete while those in blue require further work.</w:t>
      </w:r>
    </w:p>
    <w:p w:rsidR="00B92E72" w:rsidRDefault="00B92E72" w:rsidP="00C917F0">
      <w:pPr>
        <w:pStyle w:val="BodyText"/>
        <w:rPr>
          <w:rFonts w:eastAsia="Times New Roman"/>
          <w:color w:val="000000"/>
          <w:lang w:eastAsia="en-IE"/>
        </w:rPr>
        <w:sectPr w:rsidR="00B92E72" w:rsidSect="0082480E">
          <w:pgSz w:w="11906" w:h="16838"/>
          <w:pgMar w:top="1134" w:right="1134" w:bottom="1134" w:left="1134" w:header="709" w:footer="709" w:gutter="0"/>
          <w:cols w:space="708"/>
          <w:docGrid w:linePitch="360"/>
        </w:sectPr>
      </w:pPr>
    </w:p>
    <w:p w:rsidR="00B92E72" w:rsidRDefault="00B92E72" w:rsidP="00071BDC">
      <w:pPr>
        <w:pStyle w:val="Figure"/>
        <w:rPr>
          <w:lang w:eastAsia="en-IE"/>
        </w:rPr>
      </w:pPr>
      <w:bookmarkStart w:id="1" w:name="_Ref413248916"/>
      <w:r>
        <w:rPr>
          <w:lang w:eastAsia="en-IE"/>
        </w:rPr>
        <w:lastRenderedPageBreak/>
        <w:t>Summary of CSSA IALA Documents</w:t>
      </w:r>
      <w:bookmarkEnd w:id="1"/>
    </w:p>
    <w:p w:rsidR="00815A34" w:rsidRPr="00293324" w:rsidRDefault="00815A34" w:rsidP="00C917F0">
      <w:pPr>
        <w:pStyle w:val="BodyText"/>
      </w:pPr>
    </w:p>
    <w:p w:rsidR="00B92E72" w:rsidRDefault="00A34706" w:rsidP="00CD6600">
      <w:pPr>
        <w:pStyle w:val="BodyText"/>
        <w:sectPr w:rsidR="00B92E72" w:rsidSect="00071BDC">
          <w:pgSz w:w="16838" w:h="11906" w:orient="landscape"/>
          <w:pgMar w:top="1134" w:right="1134" w:bottom="1134" w:left="1134" w:header="709" w:footer="709" w:gutter="0"/>
          <w:cols w:space="708"/>
          <w:docGrid w:linePitch="360"/>
        </w:sectPr>
      </w:pPr>
      <w:r>
        <w:rPr>
          <w:rFonts w:eastAsia="Times New Roman"/>
          <w:noProof/>
          <w:color w:val="000000"/>
          <w:lang w:val="en-IE" w:eastAsia="en-IE"/>
        </w:rPr>
        <mc:AlternateContent>
          <mc:Choice Requires="wps">
            <w:drawing>
              <wp:anchor distT="0" distB="0" distL="114300" distR="114300" simplePos="0" relativeHeight="251660288" behindDoc="0" locked="0" layoutInCell="1" allowOverlap="1" wp14:anchorId="7970CFEC" wp14:editId="77E594D4">
                <wp:simplePos x="0" y="0"/>
                <wp:positionH relativeFrom="column">
                  <wp:posOffset>1832927</wp:posOffset>
                </wp:positionH>
                <wp:positionV relativeFrom="paragraph">
                  <wp:posOffset>4820920</wp:posOffset>
                </wp:positionV>
                <wp:extent cx="633413" cy="4763"/>
                <wp:effectExtent l="19050" t="38100" r="52705" b="52705"/>
                <wp:wrapNone/>
                <wp:docPr id="3" name="Straight Connector 3"/>
                <wp:cNvGraphicFramePr/>
                <a:graphic xmlns:a="http://schemas.openxmlformats.org/drawingml/2006/main">
                  <a:graphicData uri="http://schemas.microsoft.com/office/word/2010/wordprocessingShape">
                    <wps:wsp>
                      <wps:cNvCnPr/>
                      <wps:spPr>
                        <a:xfrm flipV="1">
                          <a:off x="0" y="0"/>
                          <a:ext cx="633413" cy="4763"/>
                        </a:xfrm>
                        <a:prstGeom prst="line">
                          <a:avLst/>
                        </a:prstGeom>
                        <a:noFill/>
                        <a:ln w="69850" cap="flat" cmpd="sng" algn="ctr">
                          <a:solidFill>
                            <a:srgbClr val="00B0F0"/>
                          </a:solidFill>
                          <a:prstDash val="solid"/>
                          <a:miter lim="800000"/>
                        </a:ln>
                        <a:effectLst/>
                      </wps:spPr>
                      <wps:bodyPr/>
                    </wps:wsp>
                  </a:graphicData>
                </a:graphic>
              </wp:anchor>
            </w:drawing>
          </mc:Choice>
          <mc:Fallback>
            <w:pict>
              <v:line w14:anchorId="300BD799" id="Straight Connector 3"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44.3pt,379.6pt" to="194.2pt,3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" strokecolor="#00b0f0" strokeweight="5.5pt">
                <v:stroke joinstyle="miter"/>
              </v:line>
            </w:pict>
          </mc:Fallback>
        </mc:AlternateContent>
      </w:r>
      <w:r>
        <w:rPr>
          <w:rFonts w:eastAsia="Times New Roman"/>
          <w:noProof/>
          <w:color w:val="000000"/>
          <w:lang w:val="en-IE" w:eastAsia="en-IE"/>
        </w:rPr>
        <mc:AlternateContent>
          <mc:Choice Requires="wps">
            <w:drawing>
              <wp:anchor distT="0" distB="0" distL="114300" distR="114300" simplePos="0" relativeHeight="251659264" behindDoc="0" locked="0" layoutInCell="1" allowOverlap="1" wp14:anchorId="43C0B8B7" wp14:editId="537B28A9">
                <wp:simplePos x="0" y="0"/>
                <wp:positionH relativeFrom="column">
                  <wp:posOffset>1832610</wp:posOffset>
                </wp:positionH>
                <wp:positionV relativeFrom="paragraph">
                  <wp:posOffset>4668837</wp:posOffset>
                </wp:positionV>
                <wp:extent cx="633413" cy="4763"/>
                <wp:effectExtent l="19050" t="38100" r="52705" b="52705"/>
                <wp:wrapNone/>
                <wp:docPr id="2" name="Straight Connector 2"/>
                <wp:cNvGraphicFramePr/>
                <a:graphic xmlns:a="http://schemas.openxmlformats.org/drawingml/2006/main">
                  <a:graphicData uri="http://schemas.microsoft.com/office/word/2010/wordprocessingShape">
                    <wps:wsp>
                      <wps:cNvCnPr/>
                      <wps:spPr>
                        <a:xfrm flipV="1">
                          <a:off x="0" y="0"/>
                          <a:ext cx="633413" cy="4763"/>
                        </a:xfrm>
                        <a:prstGeom prst="line">
                          <a:avLst/>
                        </a:prstGeom>
                        <a:ln w="69850">
                          <a:solidFill>
                            <a:srgbClr val="92D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17E7E1"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44.3pt,367.6pt" to="194.2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" strokecolor="#92d050" strokeweight="5.5pt">
                <v:stroke joinstyle="miter"/>
              </v:line>
            </w:pict>
          </mc:Fallback>
        </mc:AlternateContent>
      </w:r>
      <w:r w:rsidRPr="00A34706">
        <w:rPr>
          <w:rFonts w:eastAsia="Times New Roman"/>
          <w:noProof/>
          <w:color w:val="000000"/>
          <w:lang w:val="en-IE" w:eastAsia="en-IE"/>
        </w:rPr>
        <mc:AlternateContent>
          <mc:Choice Requires="wps">
            <w:drawing>
              <wp:anchor distT="45720" distB="45720" distL="114300" distR="114300" simplePos="0" relativeHeight="251658240" behindDoc="0" locked="0" layoutInCell="1" allowOverlap="1" wp14:anchorId="36D3AF9D" wp14:editId="7204FA2A">
                <wp:simplePos x="0" y="0"/>
                <wp:positionH relativeFrom="column">
                  <wp:posOffset>-39053</wp:posOffset>
                </wp:positionH>
                <wp:positionV relativeFrom="paragraph">
                  <wp:posOffset>4540250</wp:posOffset>
                </wp:positionV>
                <wp:extent cx="2890837" cy="1404620"/>
                <wp:effectExtent l="0" t="0" r="24130" b="165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0837" cy="1404620"/>
                        </a:xfrm>
                        <a:prstGeom prst="rect">
                          <a:avLst/>
                        </a:prstGeom>
                        <a:solidFill>
                          <a:srgbClr val="FFFFFF"/>
                        </a:solidFill>
                        <a:ln w="9525">
                          <a:solidFill>
                            <a:srgbClr val="000000"/>
                          </a:solidFill>
                          <a:miter lim="800000"/>
                          <a:headEnd/>
                          <a:tailEnd/>
                        </a:ln>
                      </wps:spPr>
                      <wps:txbx>
                        <w:txbxContent>
                          <w:p w:rsidR="00A34706" w:rsidRDefault="00A34706">
                            <w:r>
                              <w:t>Ready for approval</w:t>
                            </w:r>
                          </w:p>
                          <w:p w:rsidR="00A34706" w:rsidRDefault="00A34706">
                            <w:r>
                              <w:t xml:space="preserve">Requires further work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6D3AF9D" id="_x0000_t202" coordsize="21600,21600" o:spt="202" path="m,l,21600r21600,l21600,xe">
                <v:stroke joinstyle="miter"/>
                <v:path gradientshapeok="t" o:connecttype="rect"/>
              </v:shapetype>
              <v:shape id="Text Box 2" o:spid="_x0000_s1026" type="#_x0000_t202" style="position:absolute;left:0;text-align:left;margin-left:-3.1pt;margin-top:357.5pt;width:227.6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">
                <v:textbox style="mso-fit-shape-to-text:t">
                  <w:txbxContent>
                    <w:p w:rsidR="00A34706" w:rsidRDefault="00A34706">
                      <w:r>
                        <w:t>Ready for approval</w:t>
                      </w:r>
                    </w:p>
                    <w:p w:rsidR="00A34706" w:rsidRDefault="00A34706">
                      <w:r>
                        <w:t xml:space="preserve">Requires further work </w:t>
                      </w:r>
                    </w:p>
                  </w:txbxContent>
                </v:textbox>
              </v:shape>
            </w:pict>
          </mc:Fallback>
        </mc:AlternateContent>
      </w:r>
      <w:bookmarkStart w:id="2" w:name="_GoBack"/>
      <w:r w:rsidR="008861EF">
        <w:rPr>
          <w:noProof/>
          <w:lang w:val="en-IE" w:eastAsia="en-IE"/>
        </w:rPr>
        <w:drawing>
          <wp:inline distT="0" distB="0" distL="0" distR="0" wp14:anchorId="0A0414B6" wp14:editId="599B4383">
            <wp:extent cx="9043988" cy="5486400"/>
            <wp:effectExtent l="0" t="0" r="0" b="190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bookmarkEnd w:id="2"/>
    </w:p>
    <w:p w:rsidR="00A446C9" w:rsidRDefault="00A446C9" w:rsidP="00A446C9">
      <w:pPr>
        <w:pStyle w:val="Heading1"/>
      </w:pPr>
      <w:r>
        <w:lastRenderedPageBreak/>
        <w:t>Action requested of the Committee</w:t>
      </w:r>
    </w:p>
    <w:p w:rsidR="00F25BF4" w:rsidRDefault="00F25BF4" w:rsidP="00A446C9">
      <w:pPr>
        <w:pStyle w:val="BodyText"/>
      </w:pPr>
      <w:r>
        <w:t>The Committee is requested to:</w:t>
      </w:r>
      <w:r w:rsidRPr="00F25BF4">
        <w:t xml:space="preserve"> </w:t>
      </w:r>
    </w:p>
    <w:p w:rsidR="001517FC" w:rsidRDefault="00C917F0" w:rsidP="00362CD9">
      <w:pPr>
        <w:pStyle w:val="List1"/>
      </w:pPr>
      <w:r>
        <w:t>Consider the above report on the work done by the CSSA Correspondence Group intersessionally between ENAV15 and ENAV16 on several IALA documents related to a shore infrastructure ‘fit for e-Navigation’ and to the Common Shore-based System Architecture (CSSA)</w:t>
      </w:r>
      <w:r w:rsidR="001517FC">
        <w:t>.</w:t>
      </w:r>
    </w:p>
    <w:p w:rsidR="00C917F0" w:rsidRPr="00C917F0" w:rsidRDefault="00C917F0" w:rsidP="00E92DD2">
      <w:pPr>
        <w:pStyle w:val="List1"/>
        <w:rPr>
          <w:rFonts w:eastAsia="Times New Roman"/>
          <w:color w:val="000000"/>
          <w:lang w:eastAsia="en-IE"/>
        </w:rPr>
      </w:pPr>
      <w:r>
        <w:t xml:space="preserve">Consider </w:t>
      </w:r>
      <w:r w:rsidR="00E92DD2">
        <w:t xml:space="preserve">the following </w:t>
      </w:r>
      <w:r>
        <w:t xml:space="preserve">input documents </w:t>
      </w:r>
      <w:r w:rsidR="00E92DD2" w:rsidRPr="00E92DD2">
        <w:t>with a view to forward</w:t>
      </w:r>
      <w:r w:rsidR="00E92DD2">
        <w:t>ing</w:t>
      </w:r>
      <w:r w:rsidR="00E92DD2" w:rsidRPr="00E92DD2">
        <w:t xml:space="preserve"> them to Council for final approval and adoption</w:t>
      </w:r>
      <w:r w:rsidR="00E92DD2">
        <w:t>:</w:t>
      </w:r>
    </w:p>
    <w:p w:rsidR="00C917F0" w:rsidRDefault="00C917F0" w:rsidP="00C917F0">
      <w:pPr>
        <w:pStyle w:val="List1indent1"/>
        <w:numPr>
          <w:ilvl w:val="1"/>
          <w:numId w:val="39"/>
        </w:numPr>
        <w:jc w:val="left"/>
        <w:rPr>
          <w:rFonts w:eastAsia="Times New Roman"/>
          <w:color w:val="000000"/>
          <w:lang w:eastAsia="en-IE"/>
        </w:rPr>
      </w:pPr>
      <w:r>
        <w:t>ENAV16-</w:t>
      </w:r>
      <w:r w:rsidR="00E92DD2">
        <w:t>9.14</w:t>
      </w:r>
      <w:r>
        <w:t xml:space="preserve"> (Draft Revision of IALA Recommendation e-NAV 140 on the Architecture for the Shore-based </w:t>
      </w:r>
      <w:r w:rsidRPr="00C917F0">
        <w:rPr>
          <w:rFonts w:eastAsia="Times New Roman"/>
          <w:color w:val="000000"/>
          <w:lang w:eastAsia="en-IE"/>
        </w:rPr>
        <w:t>Infrastructure ‘fit for e-Navigation’ (Ed. 2: 2015)</w:t>
      </w:r>
      <w:r>
        <w:rPr>
          <w:rFonts w:eastAsia="Times New Roman"/>
          <w:color w:val="000000"/>
          <w:lang w:eastAsia="en-IE"/>
        </w:rPr>
        <w:t>);</w:t>
      </w:r>
    </w:p>
    <w:p w:rsidR="00C917F0" w:rsidRPr="00C917F0" w:rsidRDefault="00C917F0" w:rsidP="00293324">
      <w:pPr>
        <w:pStyle w:val="List1indent1"/>
        <w:numPr>
          <w:ilvl w:val="1"/>
          <w:numId w:val="39"/>
        </w:numPr>
        <w:jc w:val="left"/>
      </w:pPr>
      <w:r>
        <w:t>ENAV16-</w:t>
      </w:r>
      <w:r w:rsidR="00E92DD2">
        <w:t>9.15</w:t>
      </w:r>
      <w:r>
        <w:t xml:space="preserve"> (Draft </w:t>
      </w:r>
      <w:r w:rsidRPr="00C917F0">
        <w:t>IALA Guideline [&lt;No x&gt;] on Design and Implementation Principles for harmonized System Architectures of Shore-based Infrastructure</w:t>
      </w:r>
      <w:r>
        <w:t>);</w:t>
      </w:r>
    </w:p>
    <w:p w:rsidR="00C917F0" w:rsidRPr="00946123" w:rsidRDefault="00C917F0" w:rsidP="00293324">
      <w:pPr>
        <w:pStyle w:val="List1indent1"/>
        <w:numPr>
          <w:ilvl w:val="1"/>
          <w:numId w:val="39"/>
        </w:numPr>
        <w:jc w:val="left"/>
      </w:pPr>
      <w:r>
        <w:t>ENAV16-</w:t>
      </w:r>
      <w:r w:rsidR="00E92DD2">
        <w:t>9.16</w:t>
      </w:r>
      <w:r>
        <w:t xml:space="preserve"> (Draft </w:t>
      </w:r>
      <w:r w:rsidRPr="00C917F0">
        <w:rPr>
          <w:lang w:eastAsia="en-IE"/>
        </w:rPr>
        <w:t>IALA Guideline [&lt;No x+1&gt;] on a Technical Specification for the Common Shore-based System Architecture (CSSA)</w:t>
      </w:r>
      <w:r>
        <w:rPr>
          <w:lang w:eastAsia="en-IE"/>
        </w:rPr>
        <w:t>); and</w:t>
      </w:r>
    </w:p>
    <w:p w:rsidR="00C917F0" w:rsidRPr="00946123" w:rsidRDefault="00C917F0" w:rsidP="003D408D">
      <w:pPr>
        <w:pStyle w:val="List1indent1"/>
        <w:numPr>
          <w:ilvl w:val="1"/>
          <w:numId w:val="39"/>
        </w:numPr>
        <w:jc w:val="left"/>
      </w:pPr>
      <w:r w:rsidRPr="00C917F0">
        <w:rPr>
          <w:lang w:eastAsia="en-IE"/>
        </w:rPr>
        <w:t>ENAV16-</w:t>
      </w:r>
      <w:r w:rsidR="00E92DD2">
        <w:rPr>
          <w:lang w:eastAsia="en-IE"/>
        </w:rPr>
        <w:t>9.17</w:t>
      </w:r>
      <w:r>
        <w:rPr>
          <w:lang w:eastAsia="en-IE"/>
        </w:rPr>
        <w:t xml:space="preserve"> (</w:t>
      </w:r>
      <w:r w:rsidRPr="00C917F0">
        <w:rPr>
          <w:lang w:eastAsia="en-IE"/>
        </w:rPr>
        <w:t xml:space="preserve">Draft IALA Guideline [&lt;No x+2&gt;] on a Technical Specification for a CSSA Generic </w:t>
      </w:r>
      <w:r w:rsidRPr="00C917F0">
        <w:t>Service</w:t>
      </w:r>
      <w:r w:rsidRPr="00C917F0">
        <w:rPr>
          <w:lang w:eastAsia="en-IE"/>
        </w:rPr>
        <w:t xml:space="preserve"> Engineering Model</w:t>
      </w:r>
      <w:r>
        <w:rPr>
          <w:lang w:eastAsia="en-IE"/>
        </w:rPr>
        <w:t>; main body) plus select</w:t>
      </w:r>
      <w:r w:rsidR="00072410">
        <w:rPr>
          <w:lang w:eastAsia="en-IE"/>
        </w:rPr>
        <w:t>ed</w:t>
      </w:r>
      <w:r>
        <w:rPr>
          <w:lang w:eastAsia="en-IE"/>
        </w:rPr>
        <w:t xml:space="preserve"> mature </w:t>
      </w:r>
      <w:r w:rsidRPr="00C917F0">
        <w:rPr>
          <w:lang w:eastAsia="en-IE"/>
        </w:rPr>
        <w:t>appendices (ENAV16-</w:t>
      </w:r>
      <w:r w:rsidR="00E92DD2">
        <w:rPr>
          <w:lang w:eastAsia="en-IE"/>
        </w:rPr>
        <w:t>9.18</w:t>
      </w:r>
      <w:r w:rsidRPr="00C917F0">
        <w:rPr>
          <w:lang w:eastAsia="en-IE"/>
        </w:rPr>
        <w:t>)</w:t>
      </w:r>
      <w:r>
        <w:rPr>
          <w:lang w:eastAsia="en-IE"/>
        </w:rPr>
        <w:t xml:space="preserve"> as indicated by the workplan (ENAV16-</w:t>
      </w:r>
      <w:r w:rsidR="00E92DD2">
        <w:rPr>
          <w:lang w:eastAsia="en-IE"/>
        </w:rPr>
        <w:t>9.19</w:t>
      </w:r>
      <w:r>
        <w:rPr>
          <w:lang w:eastAsia="en-IE"/>
        </w:rPr>
        <w:t>)</w:t>
      </w:r>
      <w:r w:rsidR="00E92DD2">
        <w:rPr>
          <w:lang w:eastAsia="en-IE"/>
        </w:rPr>
        <w:t>.</w:t>
      </w:r>
    </w:p>
    <w:p w:rsidR="00C917F0" w:rsidRPr="00C917F0" w:rsidRDefault="00C917F0" w:rsidP="00E92DD2">
      <w:pPr>
        <w:pStyle w:val="List1"/>
        <w:rPr>
          <w:rFonts w:eastAsia="Times New Roman"/>
          <w:color w:val="000000"/>
          <w:lang w:eastAsia="en-IE"/>
        </w:rPr>
      </w:pPr>
      <w:r>
        <w:t>Consider</w:t>
      </w:r>
      <w:r w:rsidR="00293324">
        <w:t xml:space="preserve"> and progress</w:t>
      </w:r>
      <w:r w:rsidR="00E92DD2">
        <w:t xml:space="preserve"> the following</w:t>
      </w:r>
      <w:r>
        <w:t xml:space="preserve"> input documents</w:t>
      </w:r>
      <w:r w:rsidR="00E92DD2">
        <w:t xml:space="preserve"> at ENAV16 </w:t>
      </w:r>
      <w:r w:rsidR="00E92DD2" w:rsidRPr="00E92DD2">
        <w:t>with a view to further intersessional work and finalization at ENAV17</w:t>
      </w:r>
      <w:r w:rsidR="00E92DD2">
        <w:t>:</w:t>
      </w:r>
    </w:p>
    <w:p w:rsidR="00C917F0" w:rsidRDefault="00C917F0" w:rsidP="00293324">
      <w:pPr>
        <w:pStyle w:val="List1indent1"/>
        <w:numPr>
          <w:ilvl w:val="1"/>
          <w:numId w:val="39"/>
        </w:numPr>
        <w:jc w:val="left"/>
      </w:pPr>
      <w:r w:rsidRPr="00C917F0">
        <w:rPr>
          <w:lang w:eastAsia="en-IE"/>
        </w:rPr>
        <w:t>ENAV16-</w:t>
      </w:r>
      <w:r w:rsidR="00E92DD2">
        <w:rPr>
          <w:lang w:eastAsia="en-IE"/>
        </w:rPr>
        <w:t>9.18</w:t>
      </w:r>
      <w:r>
        <w:rPr>
          <w:lang w:eastAsia="en-IE"/>
        </w:rPr>
        <w:t xml:space="preserve"> select</w:t>
      </w:r>
      <w:r w:rsidR="00072410">
        <w:rPr>
          <w:lang w:eastAsia="en-IE"/>
        </w:rPr>
        <w:t>ed</w:t>
      </w:r>
      <w:r>
        <w:rPr>
          <w:lang w:eastAsia="en-IE"/>
        </w:rPr>
        <w:t xml:space="preserve"> </w:t>
      </w:r>
      <w:r w:rsidRPr="00C917F0">
        <w:rPr>
          <w:lang w:eastAsia="en-IE"/>
        </w:rPr>
        <w:t xml:space="preserve">appendices </w:t>
      </w:r>
      <w:r w:rsidR="00293324">
        <w:rPr>
          <w:lang w:eastAsia="en-IE"/>
        </w:rPr>
        <w:t xml:space="preserve">to </w:t>
      </w:r>
      <w:r w:rsidR="00293324" w:rsidRPr="00C917F0">
        <w:rPr>
          <w:lang w:eastAsia="en-IE"/>
        </w:rPr>
        <w:t>Draft IALA Guideline [&lt;No x+2&gt;] on a Technical Specification for a CSSA Generic Service Engineering Model</w:t>
      </w:r>
      <w:r w:rsidR="00293324">
        <w:rPr>
          <w:lang w:eastAsia="en-IE"/>
        </w:rPr>
        <w:t xml:space="preserve">, </w:t>
      </w:r>
      <w:r>
        <w:rPr>
          <w:lang w:eastAsia="en-IE"/>
        </w:rPr>
        <w:t>as indicated by the workplan (ENAV16-</w:t>
      </w:r>
      <w:r w:rsidR="00E92DD2">
        <w:rPr>
          <w:lang w:eastAsia="en-IE"/>
        </w:rPr>
        <w:t>9.19</w:t>
      </w:r>
      <w:r>
        <w:rPr>
          <w:lang w:eastAsia="en-IE"/>
        </w:rPr>
        <w:t>)</w:t>
      </w:r>
      <w:r w:rsidR="00293324">
        <w:rPr>
          <w:lang w:eastAsia="en-IE"/>
        </w:rPr>
        <w:t xml:space="preserve">; </w:t>
      </w:r>
    </w:p>
    <w:p w:rsidR="00F542F4" w:rsidRDefault="00293324" w:rsidP="00293324">
      <w:pPr>
        <w:pStyle w:val="List1indent1"/>
        <w:numPr>
          <w:ilvl w:val="1"/>
          <w:numId w:val="39"/>
        </w:numPr>
        <w:jc w:val="left"/>
      </w:pPr>
      <w:r>
        <w:t>ENAV16-</w:t>
      </w:r>
      <w:r w:rsidR="00E92DD2">
        <w:t>9.20</w:t>
      </w:r>
      <w:r>
        <w:t xml:space="preserve">: </w:t>
      </w:r>
      <w:r w:rsidRPr="00293324">
        <w:t xml:space="preserve">Draft IALA Guideline [&lt;No x+3&gt;] on M2M Interfacing within the Common Shore-based </w:t>
      </w:r>
      <w:r w:rsidRPr="00293324">
        <w:rPr>
          <w:lang w:eastAsia="en-IE"/>
        </w:rPr>
        <w:t>System</w:t>
      </w:r>
      <w:r w:rsidRPr="00293324">
        <w:t xml:space="preserve"> (CSS)</w:t>
      </w:r>
      <w:r w:rsidR="00F542F4">
        <w:t>;</w:t>
      </w:r>
    </w:p>
    <w:p w:rsidR="00293324" w:rsidRPr="00293324" w:rsidRDefault="00F542F4" w:rsidP="00293324">
      <w:pPr>
        <w:pStyle w:val="List1indent1"/>
        <w:numPr>
          <w:ilvl w:val="1"/>
          <w:numId w:val="39"/>
        </w:numPr>
        <w:jc w:val="left"/>
      </w:pPr>
      <w:r>
        <w:t>Update the work-plan in ENAV16-9.19.</w:t>
      </w:r>
    </w:p>
    <w:p w:rsidR="00C917F0" w:rsidRPr="00C917F0" w:rsidRDefault="00293324" w:rsidP="00293324">
      <w:pPr>
        <w:pStyle w:val="List1indent1"/>
        <w:ind w:left="567"/>
        <w:rPr>
          <w:lang w:eastAsia="en-IE"/>
        </w:rPr>
      </w:pPr>
      <w:r>
        <w:rPr>
          <w:lang w:eastAsia="en-IE"/>
        </w:rPr>
        <w:t>.</w:t>
      </w:r>
    </w:p>
    <w:p w:rsidR="00F25BF4" w:rsidRDefault="00F25BF4" w:rsidP="00293324">
      <w:pPr>
        <w:pStyle w:val="List1"/>
        <w:numPr>
          <w:ilvl w:val="0"/>
          <w:numId w:val="0"/>
        </w:numPr>
        <w:ind w:left="567" w:hanging="567"/>
      </w:pPr>
    </w:p>
    <w:p w:rsidR="004D1D85" w:rsidRDefault="004D1D85" w:rsidP="004D1D85">
      <w:pPr>
        <w:pStyle w:val="List1"/>
        <w:numPr>
          <w:ilvl w:val="0"/>
          <w:numId w:val="0"/>
        </w:numPr>
        <w:ind w:left="567" w:hanging="567"/>
      </w:pPr>
    </w:p>
    <w:p w:rsidR="004D1D85" w:rsidRDefault="004D1D85" w:rsidP="004D1D85">
      <w:pPr>
        <w:pStyle w:val="List1"/>
        <w:numPr>
          <w:ilvl w:val="0"/>
          <w:numId w:val="0"/>
        </w:numPr>
        <w:ind w:left="567" w:hanging="567"/>
      </w:pPr>
    </w:p>
    <w:sectPr w:rsidR="004D1D85"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67D" w:rsidRDefault="0074567D" w:rsidP="00362CD9">
      <w:r>
        <w:separator/>
      </w:r>
    </w:p>
  </w:endnote>
  <w:endnote w:type="continuationSeparator" w:id="0">
    <w:p w:rsidR="0074567D" w:rsidRDefault="0074567D"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0"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CD9" w:rsidRDefault="00362CD9">
    <w:pPr>
      <w:pStyle w:val="Footer"/>
    </w:pPr>
    <w:r>
      <w:tab/>
    </w:r>
    <w:r>
      <w:fldChar w:fldCharType="begin"/>
    </w:r>
    <w:r>
      <w:instrText xml:space="preserve"> PAGE   \* MERGEFORMAT </w:instrText>
    </w:r>
    <w:r>
      <w:fldChar w:fldCharType="separate"/>
    </w:r>
    <w:r w:rsidR="00A34706">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67D" w:rsidRDefault="0074567D" w:rsidP="00362CD9">
      <w:r>
        <w:separator/>
      </w:r>
    </w:p>
  </w:footnote>
  <w:footnote w:type="continuationSeparator" w:id="0">
    <w:p w:rsidR="0074567D" w:rsidRDefault="0074567D" w:rsidP="00362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207" w:rsidRDefault="00A5104C" w:rsidP="005E262D">
    <w:pPr>
      <w:pStyle w:val="Header"/>
      <w:jc w:val="right"/>
    </w:pPr>
    <w:r>
      <w:t>E</w:t>
    </w:r>
    <w:r w:rsidR="009831C0">
      <w:t>NAV</w:t>
    </w:r>
    <w:r w:rsidR="00B20031">
      <w:t>1</w:t>
    </w:r>
    <w:r>
      <w:t>6</w:t>
    </w:r>
    <w:r w:rsidR="00421F10">
      <w:t>-9.13</w:t>
    </w:r>
    <w:r w:rsidR="00FB11FA">
      <w:t xml:space="preserve"> (20150306)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AEFCAD28"/>
    <w:lvl w:ilvl="0" w:tplc="81E84170">
      <w:start w:val="1"/>
      <w:numFmt w:val="decimal"/>
      <w:pStyle w:val="Appendix"/>
      <w:lvlText w:val="APPENDIX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9A414E1"/>
    <w:multiLevelType w:val="hybridMultilevel"/>
    <w:tmpl w:val="6BD65048"/>
    <w:lvl w:ilvl="0" w:tplc="A66023A0">
      <w:start w:val="5"/>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313D32DE"/>
    <w:multiLevelType w:val="hybridMultilevel"/>
    <w:tmpl w:val="139E0DB2"/>
    <w:lvl w:ilvl="0" w:tplc="50D207EE">
      <w:start w:val="5"/>
      <w:numFmt w:val="bullet"/>
      <w:lvlText w:val=""/>
      <w:lvlJc w:val="left"/>
      <w:pPr>
        <w:ind w:left="720" w:hanging="360"/>
      </w:pPr>
      <w:rPr>
        <w:rFonts w:ascii="Symbol" w:eastAsia="Calibri" w:hAnsi="Symbol"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4">
    <w:nsid w:val="44041789"/>
    <w:multiLevelType w:val="multilevel"/>
    <w:tmpl w:val="CC3EEA20"/>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5"/>
      <w:numFmt w:val="bullet"/>
      <w:lvlText w:val=""/>
      <w:lvlJc w:val="left"/>
      <w:pPr>
        <w:tabs>
          <w:tab w:val="num" w:pos="1134"/>
        </w:tabs>
        <w:ind w:left="1134" w:hanging="567"/>
      </w:pPr>
      <w:rPr>
        <w:rFonts w:ascii="Symbol" w:eastAsia="Calibri" w:hAnsi="Symbol" w:cs="Calibri"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8">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2">
    <w:nsid w:val="59194BE9"/>
    <w:multiLevelType w:val="hybridMultilevel"/>
    <w:tmpl w:val="25966932"/>
    <w:lvl w:ilvl="0" w:tplc="A66023A0">
      <w:start w:val="5"/>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5">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8"/>
  </w:num>
  <w:num w:numId="4">
    <w:abstractNumId w:val="23"/>
  </w:num>
  <w:num w:numId="5">
    <w:abstractNumId w:val="16"/>
  </w:num>
  <w:num w:numId="6">
    <w:abstractNumId w:val="5"/>
  </w:num>
  <w:num w:numId="7">
    <w:abstractNumId w:val="25"/>
  </w:num>
  <w:num w:numId="8">
    <w:abstractNumId w:val="12"/>
  </w:num>
  <w:num w:numId="9">
    <w:abstractNumId w:val="9"/>
  </w:num>
  <w:num w:numId="10">
    <w:abstractNumId w:val="18"/>
  </w:num>
  <w:num w:numId="11">
    <w:abstractNumId w:val="17"/>
  </w:num>
  <w:num w:numId="12">
    <w:abstractNumId w:val="15"/>
  </w:num>
  <w:num w:numId="13">
    <w:abstractNumId w:val="24"/>
  </w:num>
  <w:num w:numId="14">
    <w:abstractNumId w:val="6"/>
  </w:num>
  <w:num w:numId="15">
    <w:abstractNumId w:val="26"/>
  </w:num>
  <w:num w:numId="16">
    <w:abstractNumId w:val="14"/>
  </w:num>
  <w:num w:numId="17">
    <w:abstractNumId w:val="7"/>
  </w:num>
  <w:num w:numId="18">
    <w:abstractNumId w:val="20"/>
  </w:num>
  <w:num w:numId="19">
    <w:abstractNumId w:val="14"/>
  </w:num>
  <w:num w:numId="20">
    <w:abstractNumId w:val="14"/>
  </w:num>
  <w:num w:numId="21">
    <w:abstractNumId w:val="14"/>
  </w:num>
  <w:num w:numId="22">
    <w:abstractNumId w:val="14"/>
  </w:num>
  <w:num w:numId="23">
    <w:abstractNumId w:val="21"/>
  </w:num>
  <w:num w:numId="24">
    <w:abstractNumId w:val="3"/>
  </w:num>
  <w:num w:numId="25">
    <w:abstractNumId w:val="3"/>
  </w:num>
  <w:num w:numId="26">
    <w:abstractNumId w:val="3"/>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9"/>
  </w:num>
  <w:num w:numId="34">
    <w:abstractNumId w:val="19"/>
  </w:num>
  <w:num w:numId="35">
    <w:abstractNumId w:val="19"/>
  </w:num>
  <w:num w:numId="36">
    <w:abstractNumId w:val="13"/>
  </w:num>
  <w:num w:numId="37">
    <w:abstractNumId w:val="6"/>
  </w:num>
  <w:num w:numId="38">
    <w:abstractNumId w:val="15"/>
  </w:num>
  <w:num w:numId="39">
    <w:abstractNumId w:val="14"/>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22"/>
  </w:num>
  <w:num w:numId="4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attachedTemplate r:id="rId1"/>
  <w:defaultTabStop w:val="720"/>
  <w:autoHyphenation/>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4BB"/>
    <w:rsid w:val="000005D3"/>
    <w:rsid w:val="00013F5D"/>
    <w:rsid w:val="0004700E"/>
    <w:rsid w:val="000550D6"/>
    <w:rsid w:val="00055A00"/>
    <w:rsid w:val="00070C13"/>
    <w:rsid w:val="00071BDC"/>
    <w:rsid w:val="00072410"/>
    <w:rsid w:val="000825FA"/>
    <w:rsid w:val="00084F33"/>
    <w:rsid w:val="000A77A7"/>
    <w:rsid w:val="000B2C31"/>
    <w:rsid w:val="000C1B3E"/>
    <w:rsid w:val="001517FC"/>
    <w:rsid w:val="0016322E"/>
    <w:rsid w:val="00177F4D"/>
    <w:rsid w:val="00180DDA"/>
    <w:rsid w:val="001A14A2"/>
    <w:rsid w:val="001B2A2D"/>
    <w:rsid w:val="001B737D"/>
    <w:rsid w:val="001C44A3"/>
    <w:rsid w:val="001F528A"/>
    <w:rsid w:val="001F704E"/>
    <w:rsid w:val="002125B0"/>
    <w:rsid w:val="002262F4"/>
    <w:rsid w:val="002275E9"/>
    <w:rsid w:val="00227D6E"/>
    <w:rsid w:val="00243228"/>
    <w:rsid w:val="00251483"/>
    <w:rsid w:val="00255CAA"/>
    <w:rsid w:val="00264305"/>
    <w:rsid w:val="00285583"/>
    <w:rsid w:val="00293324"/>
    <w:rsid w:val="002A0346"/>
    <w:rsid w:val="002A4487"/>
    <w:rsid w:val="002D3E8B"/>
    <w:rsid w:val="002D4575"/>
    <w:rsid w:val="002D5C0C"/>
    <w:rsid w:val="002E6B74"/>
    <w:rsid w:val="002E7B13"/>
    <w:rsid w:val="00304813"/>
    <w:rsid w:val="003275DC"/>
    <w:rsid w:val="00356CD0"/>
    <w:rsid w:val="00362CD9"/>
    <w:rsid w:val="003761CA"/>
    <w:rsid w:val="00380DAF"/>
    <w:rsid w:val="003B28F5"/>
    <w:rsid w:val="003B7B7D"/>
    <w:rsid w:val="003C7A2A"/>
    <w:rsid w:val="003D408D"/>
    <w:rsid w:val="003D69D0"/>
    <w:rsid w:val="003F2918"/>
    <w:rsid w:val="003F430E"/>
    <w:rsid w:val="0040783D"/>
    <w:rsid w:val="00421F10"/>
    <w:rsid w:val="00460B39"/>
    <w:rsid w:val="00461C60"/>
    <w:rsid w:val="004661AD"/>
    <w:rsid w:val="004D1D85"/>
    <w:rsid w:val="004D3C3A"/>
    <w:rsid w:val="005107EB"/>
    <w:rsid w:val="00521345"/>
    <w:rsid w:val="00526DF0"/>
    <w:rsid w:val="00545CC4"/>
    <w:rsid w:val="00551FFF"/>
    <w:rsid w:val="005607A2"/>
    <w:rsid w:val="0056147B"/>
    <w:rsid w:val="0057198B"/>
    <w:rsid w:val="005B32A3"/>
    <w:rsid w:val="005C2C0C"/>
    <w:rsid w:val="005C566C"/>
    <w:rsid w:val="005C7E69"/>
    <w:rsid w:val="005E262D"/>
    <w:rsid w:val="005F7E20"/>
    <w:rsid w:val="00642D6E"/>
    <w:rsid w:val="006652C3"/>
    <w:rsid w:val="00691FD0"/>
    <w:rsid w:val="006C5948"/>
    <w:rsid w:val="006D6206"/>
    <w:rsid w:val="006F2A74"/>
    <w:rsid w:val="006F3C43"/>
    <w:rsid w:val="00704B54"/>
    <w:rsid w:val="007118F5"/>
    <w:rsid w:val="00712AA4"/>
    <w:rsid w:val="00721AA1"/>
    <w:rsid w:val="007410E7"/>
    <w:rsid w:val="0074567D"/>
    <w:rsid w:val="007547F8"/>
    <w:rsid w:val="00765622"/>
    <w:rsid w:val="00770B6C"/>
    <w:rsid w:val="007726E6"/>
    <w:rsid w:val="00783FEA"/>
    <w:rsid w:val="00794153"/>
    <w:rsid w:val="007E23E6"/>
    <w:rsid w:val="00815A34"/>
    <w:rsid w:val="0082480E"/>
    <w:rsid w:val="0084616B"/>
    <w:rsid w:val="00850293"/>
    <w:rsid w:val="00851373"/>
    <w:rsid w:val="00851BA6"/>
    <w:rsid w:val="0085654D"/>
    <w:rsid w:val="00861160"/>
    <w:rsid w:val="008861EF"/>
    <w:rsid w:val="008A4653"/>
    <w:rsid w:val="008A50CC"/>
    <w:rsid w:val="008B278F"/>
    <w:rsid w:val="008D1694"/>
    <w:rsid w:val="008D79CB"/>
    <w:rsid w:val="008F07BC"/>
    <w:rsid w:val="0092692B"/>
    <w:rsid w:val="009311CA"/>
    <w:rsid w:val="00943E9C"/>
    <w:rsid w:val="00946123"/>
    <w:rsid w:val="00953F4D"/>
    <w:rsid w:val="00960BB8"/>
    <w:rsid w:val="00964F5C"/>
    <w:rsid w:val="009827AC"/>
    <w:rsid w:val="009831C0"/>
    <w:rsid w:val="00997328"/>
    <w:rsid w:val="009A3FAF"/>
    <w:rsid w:val="009E1138"/>
    <w:rsid w:val="00A0389B"/>
    <w:rsid w:val="00A25227"/>
    <w:rsid w:val="00A34706"/>
    <w:rsid w:val="00A35DE1"/>
    <w:rsid w:val="00A446C9"/>
    <w:rsid w:val="00A44FDB"/>
    <w:rsid w:val="00A47D5E"/>
    <w:rsid w:val="00A5104C"/>
    <w:rsid w:val="00A635D6"/>
    <w:rsid w:val="00A8553A"/>
    <w:rsid w:val="00A93AED"/>
    <w:rsid w:val="00AB717B"/>
    <w:rsid w:val="00AF3915"/>
    <w:rsid w:val="00B20031"/>
    <w:rsid w:val="00B226F2"/>
    <w:rsid w:val="00B274DF"/>
    <w:rsid w:val="00B56BDF"/>
    <w:rsid w:val="00B85CD6"/>
    <w:rsid w:val="00B90A27"/>
    <w:rsid w:val="00B92E72"/>
    <w:rsid w:val="00B9554D"/>
    <w:rsid w:val="00BA0297"/>
    <w:rsid w:val="00BA08FF"/>
    <w:rsid w:val="00BB2B9F"/>
    <w:rsid w:val="00BD3CB8"/>
    <w:rsid w:val="00BD4E6F"/>
    <w:rsid w:val="00BF4DCE"/>
    <w:rsid w:val="00C05CE5"/>
    <w:rsid w:val="00C24A19"/>
    <w:rsid w:val="00C6171E"/>
    <w:rsid w:val="00C917F0"/>
    <w:rsid w:val="00CA6F2C"/>
    <w:rsid w:val="00CD6600"/>
    <w:rsid w:val="00CF1871"/>
    <w:rsid w:val="00D1133E"/>
    <w:rsid w:val="00D17A34"/>
    <w:rsid w:val="00D26628"/>
    <w:rsid w:val="00D332B3"/>
    <w:rsid w:val="00D55207"/>
    <w:rsid w:val="00D92B45"/>
    <w:rsid w:val="00D95962"/>
    <w:rsid w:val="00DC389B"/>
    <w:rsid w:val="00DC55EA"/>
    <w:rsid w:val="00DE2FEE"/>
    <w:rsid w:val="00DF7692"/>
    <w:rsid w:val="00E00BE9"/>
    <w:rsid w:val="00E154BB"/>
    <w:rsid w:val="00E22A11"/>
    <w:rsid w:val="00E55927"/>
    <w:rsid w:val="00E912A6"/>
    <w:rsid w:val="00E92DD2"/>
    <w:rsid w:val="00EA4844"/>
    <w:rsid w:val="00EA4D9C"/>
    <w:rsid w:val="00EB75EE"/>
    <w:rsid w:val="00EE4C1D"/>
    <w:rsid w:val="00EF3685"/>
    <w:rsid w:val="00F159EB"/>
    <w:rsid w:val="00F25BF4"/>
    <w:rsid w:val="00F267DB"/>
    <w:rsid w:val="00F46F6F"/>
    <w:rsid w:val="00F53663"/>
    <w:rsid w:val="00F542F4"/>
    <w:rsid w:val="00F60608"/>
    <w:rsid w:val="00F62217"/>
    <w:rsid w:val="00F77B4A"/>
    <w:rsid w:val="00F80372"/>
    <w:rsid w:val="00FB11FA"/>
    <w:rsid w:val="00FB17A9"/>
    <w:rsid w:val="00FB6F75"/>
    <w:rsid w:val="00FC0EB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574554-C7DA-491B-A15A-3E0445013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lang w:val="en-GB" w:eastAsia="en-GB"/>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39"/>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AppendixHeading1"/>
    <w:rsid w:val="000005D3"/>
    <w:pPr>
      <w:numPr>
        <w:numId w:val="41"/>
      </w:numPr>
      <w:tabs>
        <w:tab w:val="left" w:pos="1985"/>
      </w:tabs>
      <w:spacing w:before="120" w:after="240"/>
      <w:ind w:left="1985" w:hanging="1985"/>
    </w:pPr>
    <w:rPr>
      <w:rFonts w:eastAsia="Times New Roman" w:cs="Times New Roman"/>
      <w:b/>
      <w:sz w:val="24"/>
      <w:szCs w:val="28"/>
      <w:lang w:eastAsia="en-US"/>
    </w:rPr>
  </w:style>
  <w:style w:type="paragraph" w:styleId="BalloonText">
    <w:name w:val="Balloon Text"/>
    <w:basedOn w:val="Normal"/>
    <w:link w:val="BalloonTextChar"/>
    <w:uiPriority w:val="99"/>
    <w:semiHidden/>
    <w:unhideWhenUsed/>
    <w:rsid w:val="007726E6"/>
    <w:rPr>
      <w:rFonts w:ascii="Tahoma" w:hAnsi="Tahoma" w:cs="Tahoma"/>
      <w:sz w:val="16"/>
      <w:szCs w:val="16"/>
    </w:rPr>
  </w:style>
  <w:style w:type="character" w:customStyle="1" w:styleId="BalloonTextChar">
    <w:name w:val="Balloon Text Char"/>
    <w:link w:val="BalloonText"/>
    <w:uiPriority w:val="99"/>
    <w:semiHidden/>
    <w:rsid w:val="007726E6"/>
    <w:rPr>
      <w:rFonts w:ascii="Tahoma" w:hAnsi="Tahoma" w:cs="Tahoma"/>
      <w:sz w:val="16"/>
      <w:szCs w:val="16"/>
    </w:rPr>
  </w:style>
  <w:style w:type="character" w:styleId="CommentReference">
    <w:name w:val="annotation reference"/>
    <w:uiPriority w:val="99"/>
    <w:semiHidden/>
    <w:unhideWhenUsed/>
    <w:rsid w:val="00946123"/>
    <w:rPr>
      <w:sz w:val="16"/>
      <w:szCs w:val="16"/>
    </w:rPr>
  </w:style>
  <w:style w:type="paragraph" w:styleId="CommentText">
    <w:name w:val="annotation text"/>
    <w:basedOn w:val="Normal"/>
    <w:link w:val="CommentTextChar"/>
    <w:uiPriority w:val="99"/>
    <w:semiHidden/>
    <w:unhideWhenUsed/>
    <w:rsid w:val="00946123"/>
    <w:pPr>
      <w:spacing w:after="160"/>
    </w:pPr>
    <w:rPr>
      <w:rFonts w:ascii="Calibri" w:hAnsi="Calibri" w:cs="Times New Roman"/>
      <w:sz w:val="20"/>
      <w:szCs w:val="20"/>
      <w:lang w:val="en-IE" w:eastAsia="en-US"/>
    </w:rPr>
  </w:style>
  <w:style w:type="character" w:customStyle="1" w:styleId="CommentTextChar">
    <w:name w:val="Comment Text Char"/>
    <w:link w:val="CommentText"/>
    <w:uiPriority w:val="99"/>
    <w:semiHidden/>
    <w:rsid w:val="00946123"/>
    <w:rPr>
      <w:lang w:val="en-IE" w:eastAsia="en-US"/>
    </w:rPr>
  </w:style>
  <w:style w:type="paragraph" w:styleId="ListParagraph">
    <w:name w:val="List Paragraph"/>
    <w:basedOn w:val="Normal"/>
    <w:uiPriority w:val="34"/>
    <w:rsid w:val="00946123"/>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diagramDrawing" Target="diagrams/drawing1.xml"/></Relationships>
</file>

<file path=word/_rels/settings.xml.rels><?xml version="1.0" encoding="UTF-8" standalone="yes"?>
<Relationships xmlns="http://schemas.openxmlformats.org/package/2006/relationships"><Relationship Id="rId1" Type="http://schemas.openxmlformats.org/officeDocument/2006/relationships/attachedTemplate" Target="file:///W:\241.1-IALA\_IALA-Templates\InputPapers\e-NAV%20Committee%20input%20paper_Sep11.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D34F16D-7F5B-489A-B284-D5189FA65E8C}"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en-IE"/>
        </a:p>
      </dgm:t>
    </dgm:pt>
    <dgm:pt modelId="{2175CEBD-0F25-405B-BCC3-75BBBEDF82B1}">
      <dgm:prSet phldrT="[Text]"/>
      <dgm:spPr>
        <a:solidFill>
          <a:srgbClr val="92D050"/>
        </a:solidFill>
      </dgm:spPr>
      <dgm:t>
        <a:bodyPr/>
        <a:lstStyle/>
        <a:p>
          <a:r>
            <a:rPr lang="en-IE">
              <a:solidFill>
                <a:schemeClr val="tx1"/>
              </a:solidFill>
            </a:rPr>
            <a:t>Draft IALA Recommendation e-NAV 140 on the Architecture for the Shore-based Infrastructure ‘fit for e-Navigation’ (Ed. 2: 2015))</a:t>
          </a:r>
        </a:p>
        <a:p>
          <a:r>
            <a:rPr lang="en-IE">
              <a:solidFill>
                <a:srgbClr val="FF0000"/>
              </a:solidFill>
            </a:rPr>
            <a:t>Key principles regarding architecture for the shore-based infrastructure ‘fit for e-Navigation’</a:t>
          </a:r>
        </a:p>
      </dgm:t>
    </dgm:pt>
    <dgm:pt modelId="{A3A0ADE9-3D74-4BCE-8113-9F4FA5DCFF53}" type="parTrans" cxnId="{38D1B419-43EB-4CB4-900F-4BE94F725E12}">
      <dgm:prSet/>
      <dgm:spPr/>
      <dgm:t>
        <a:bodyPr/>
        <a:lstStyle/>
        <a:p>
          <a:endParaRPr lang="en-IE"/>
        </a:p>
      </dgm:t>
    </dgm:pt>
    <dgm:pt modelId="{5A352F0B-CA47-42CA-AC90-E83C6243666A}" type="sibTrans" cxnId="{38D1B419-43EB-4CB4-900F-4BE94F725E12}">
      <dgm:prSet/>
      <dgm:spPr/>
      <dgm:t>
        <a:bodyPr/>
        <a:lstStyle/>
        <a:p>
          <a:endParaRPr lang="en-IE"/>
        </a:p>
      </dgm:t>
    </dgm:pt>
    <dgm:pt modelId="{25B80BC8-65B4-4751-A6A4-D18F58CFE172}">
      <dgm:prSet phldrT="[Text]"/>
      <dgm:spPr>
        <a:solidFill>
          <a:srgbClr val="92D050"/>
        </a:solidFill>
      </dgm:spPr>
      <dgm:t>
        <a:bodyPr/>
        <a:lstStyle/>
        <a:p>
          <a:r>
            <a:rPr lang="en-IE">
              <a:solidFill>
                <a:schemeClr val="tx1"/>
              </a:solidFill>
            </a:rPr>
            <a:t>Draft IALA Guideline [&lt;No x&gt;] on Design and Implementation Principles for harmonized System Architectures of Shore-based Infrastructure</a:t>
          </a:r>
        </a:p>
        <a:p>
          <a:r>
            <a:rPr lang="en-IE">
              <a:solidFill>
                <a:srgbClr val="FF0000"/>
              </a:solidFill>
            </a:rPr>
            <a:t>Introductory description, as a ‘best practice,’  of how state-of-the-art system engineering princi-ples can be brought together under and be harmonized with the aspirations of the holistic overarch-ing architecture defined by IMO for e-Navigation.</a:t>
          </a:r>
        </a:p>
      </dgm:t>
    </dgm:pt>
    <dgm:pt modelId="{DFF7C19A-E21F-4C8A-92D7-DA4A2FCEB9EC}" type="parTrans" cxnId="{82C68B94-9E90-4C13-9B28-84AB675C16AE}">
      <dgm:prSet/>
      <dgm:spPr/>
      <dgm:t>
        <a:bodyPr/>
        <a:lstStyle/>
        <a:p>
          <a:endParaRPr lang="en-IE"/>
        </a:p>
      </dgm:t>
    </dgm:pt>
    <dgm:pt modelId="{ED936FF3-C42F-4647-9BCB-EF8E5CC876E3}" type="sibTrans" cxnId="{82C68B94-9E90-4C13-9B28-84AB675C16AE}">
      <dgm:prSet/>
      <dgm:spPr/>
      <dgm:t>
        <a:bodyPr/>
        <a:lstStyle/>
        <a:p>
          <a:endParaRPr lang="en-IE"/>
        </a:p>
      </dgm:t>
    </dgm:pt>
    <dgm:pt modelId="{784DB458-669A-4BC8-B236-8B0C19C8517B}">
      <dgm:prSet phldrT="[Text]"/>
      <dgm:spPr>
        <a:solidFill>
          <a:srgbClr val="92D050"/>
        </a:solidFill>
      </dgm:spPr>
      <dgm:t>
        <a:bodyPr/>
        <a:lstStyle/>
        <a:p>
          <a:r>
            <a:rPr lang="en-IE">
              <a:solidFill>
                <a:schemeClr val="tx1"/>
              </a:solidFill>
            </a:rPr>
            <a:t>Draft IALA Guideline [&lt;No x+1&gt;] on a Technical Specification for the Common Shore-based System Architecture (CSSA)</a:t>
          </a:r>
        </a:p>
        <a:p>
          <a:r>
            <a:rPr lang="en-IE">
              <a:solidFill>
                <a:srgbClr val="FF0000"/>
              </a:solidFill>
            </a:rPr>
            <a:t>Technical specification, as a ‘best practice,’  of how IALA members could set up (as national mem-bers) or contribute to such systems (as industrial members) within a common system engineering reference framework</a:t>
          </a:r>
        </a:p>
      </dgm:t>
    </dgm:pt>
    <dgm:pt modelId="{BB010DFE-5CC8-4861-A065-5FA44568B896}" type="parTrans" cxnId="{8965B051-F7BC-47DB-8A01-700E36C3DC95}">
      <dgm:prSet/>
      <dgm:spPr/>
      <dgm:t>
        <a:bodyPr/>
        <a:lstStyle/>
        <a:p>
          <a:endParaRPr lang="en-IE"/>
        </a:p>
      </dgm:t>
    </dgm:pt>
    <dgm:pt modelId="{78B2A783-888A-48CE-B4F3-169CF1E4DDAE}" type="sibTrans" cxnId="{8965B051-F7BC-47DB-8A01-700E36C3DC95}">
      <dgm:prSet/>
      <dgm:spPr/>
      <dgm:t>
        <a:bodyPr/>
        <a:lstStyle/>
        <a:p>
          <a:endParaRPr lang="en-IE"/>
        </a:p>
      </dgm:t>
    </dgm:pt>
    <dgm:pt modelId="{0E0F7910-9B62-41BB-B348-8EB477179BBF}">
      <dgm:prSet phldrT="[Text]"/>
      <dgm:spPr>
        <a:solidFill>
          <a:srgbClr val="92D050"/>
        </a:solidFill>
      </dgm:spPr>
      <dgm:t>
        <a:bodyPr/>
        <a:lstStyle/>
        <a:p>
          <a:r>
            <a:rPr lang="en-IE">
              <a:solidFill>
                <a:schemeClr val="tx1"/>
              </a:solidFill>
            </a:rPr>
            <a:t>Appendix 1</a:t>
          </a:r>
        </a:p>
        <a:p>
          <a:r>
            <a:rPr lang="en-IE">
              <a:solidFill>
                <a:srgbClr val="FF0000"/>
              </a:solidFill>
            </a:rPr>
            <a:t>Application note to demonstrate how the notions of the CSSA, MSPs and Maritime Cloud can be harmonized and how the notions of the MSPs and Maritime Cloud may benefit from CSSA.</a:t>
          </a:r>
        </a:p>
      </dgm:t>
    </dgm:pt>
    <dgm:pt modelId="{B3705EA1-B0A1-4F11-8A6D-592545260944}" type="parTrans" cxnId="{0F01A0A9-E9B2-46B8-A38C-8824A5539AFD}">
      <dgm:prSet/>
      <dgm:spPr/>
      <dgm:t>
        <a:bodyPr/>
        <a:lstStyle/>
        <a:p>
          <a:endParaRPr lang="en-IE"/>
        </a:p>
      </dgm:t>
    </dgm:pt>
    <dgm:pt modelId="{53A0707D-DCEE-4ECE-BFD5-D1D1589A5FF0}" type="sibTrans" cxnId="{0F01A0A9-E9B2-46B8-A38C-8824A5539AFD}">
      <dgm:prSet/>
      <dgm:spPr/>
      <dgm:t>
        <a:bodyPr/>
        <a:lstStyle/>
        <a:p>
          <a:endParaRPr lang="en-IE"/>
        </a:p>
      </dgm:t>
    </dgm:pt>
    <dgm:pt modelId="{0F359A9C-ACED-4893-B08E-E29E3983F160}">
      <dgm:prSet/>
      <dgm:spPr>
        <a:solidFill>
          <a:srgbClr val="92D050"/>
        </a:solidFill>
      </dgm:spPr>
      <dgm:t>
        <a:bodyPr/>
        <a:lstStyle/>
        <a:p>
          <a:r>
            <a:rPr lang="en-IE">
              <a:solidFill>
                <a:schemeClr val="tx1"/>
              </a:solidFill>
            </a:rPr>
            <a:t>Draft IALA Guideline [&lt;No x+2&gt;] on a Technical Specification for a CSSA Generic Service Engineering Model</a:t>
          </a:r>
        </a:p>
        <a:p>
          <a:r>
            <a:rPr lang="en-IE">
              <a:solidFill>
                <a:srgbClr val="FF0000"/>
              </a:solidFill>
            </a:rPr>
            <a:t>Technical specification, as a ‘best practice,’  of how IALA members could set up (as national mem-bers) or contribute to such services (as industrial members) within a CSSA</a:t>
          </a:r>
        </a:p>
      </dgm:t>
    </dgm:pt>
    <dgm:pt modelId="{D2491BC0-4E26-4961-A3D6-BA5FDDBBFC6B}" type="parTrans" cxnId="{76F14929-9418-4D41-9115-4FA0B2DE1EDD}">
      <dgm:prSet/>
      <dgm:spPr/>
      <dgm:t>
        <a:bodyPr/>
        <a:lstStyle/>
        <a:p>
          <a:endParaRPr lang="en-IE"/>
        </a:p>
      </dgm:t>
    </dgm:pt>
    <dgm:pt modelId="{BA021BDE-00D9-4F87-8F27-02D0D200CBA2}" type="sibTrans" cxnId="{76F14929-9418-4D41-9115-4FA0B2DE1EDD}">
      <dgm:prSet/>
      <dgm:spPr/>
      <dgm:t>
        <a:bodyPr/>
        <a:lstStyle/>
        <a:p>
          <a:endParaRPr lang="en-IE"/>
        </a:p>
      </dgm:t>
    </dgm:pt>
    <dgm:pt modelId="{98E4F3A6-B14F-4663-8EB2-424CFA3F0BF0}">
      <dgm:prSet/>
      <dgm:spPr>
        <a:solidFill>
          <a:srgbClr val="92D050"/>
        </a:solidFill>
      </dgm:spPr>
      <dgm:t>
        <a:bodyPr/>
        <a:lstStyle/>
        <a:p>
          <a:r>
            <a:rPr lang="en-IE">
              <a:solidFill>
                <a:schemeClr val="tx1"/>
              </a:solidFill>
            </a:rPr>
            <a:t>Selected Appendices</a:t>
          </a:r>
        </a:p>
      </dgm:t>
    </dgm:pt>
    <dgm:pt modelId="{58DE2B38-51DC-4C26-9D36-FAA63BB41106}" type="parTrans" cxnId="{E561E2E9-0ED4-4F73-8B14-0E1AF286EC2F}">
      <dgm:prSet/>
      <dgm:spPr/>
      <dgm:t>
        <a:bodyPr/>
        <a:lstStyle/>
        <a:p>
          <a:endParaRPr lang="en-IE"/>
        </a:p>
      </dgm:t>
    </dgm:pt>
    <dgm:pt modelId="{37AF08B6-65FF-4901-88B6-A1D4B0339948}" type="sibTrans" cxnId="{E561E2E9-0ED4-4F73-8B14-0E1AF286EC2F}">
      <dgm:prSet/>
      <dgm:spPr/>
      <dgm:t>
        <a:bodyPr/>
        <a:lstStyle/>
        <a:p>
          <a:endParaRPr lang="en-IE"/>
        </a:p>
      </dgm:t>
    </dgm:pt>
    <dgm:pt modelId="{A3F15853-8466-4FD8-A2F0-2258C5590F14}">
      <dgm:prSet/>
      <dgm:spPr/>
      <dgm:t>
        <a:bodyPr/>
        <a:lstStyle/>
        <a:p>
          <a:r>
            <a:rPr lang="en-IE"/>
            <a:t>Draft IALA Guideline [&lt;No x+3&gt;] on M2M Interfacing within the Common Shore-based Sys-tem (CSS)</a:t>
          </a:r>
        </a:p>
        <a:p>
          <a:r>
            <a:rPr lang="en-IE">
              <a:solidFill>
                <a:srgbClr val="FF0000"/>
              </a:solidFill>
            </a:rPr>
            <a:t>Technical specification, as a ‘best practice,’ of how harmonized M2M interfacing within a CSSA could be done</a:t>
          </a:r>
        </a:p>
      </dgm:t>
    </dgm:pt>
    <dgm:pt modelId="{36A88AA5-BFBD-47C5-A14A-B259163A1F1F}" type="parTrans" cxnId="{AFF983CB-B6BB-4BAC-A2F4-B5CA76FA32A3}">
      <dgm:prSet/>
      <dgm:spPr/>
      <dgm:t>
        <a:bodyPr/>
        <a:lstStyle/>
        <a:p>
          <a:endParaRPr lang="en-IE"/>
        </a:p>
      </dgm:t>
    </dgm:pt>
    <dgm:pt modelId="{930C6017-EF51-4DC9-A558-C52C85EDE73D}" type="sibTrans" cxnId="{AFF983CB-B6BB-4BAC-A2F4-B5CA76FA32A3}">
      <dgm:prSet/>
      <dgm:spPr/>
      <dgm:t>
        <a:bodyPr/>
        <a:lstStyle/>
        <a:p>
          <a:endParaRPr lang="en-IE"/>
        </a:p>
      </dgm:t>
    </dgm:pt>
    <dgm:pt modelId="{FA499F8F-2E32-4984-9D54-2A930E61D962}">
      <dgm:prSet/>
      <dgm:spPr/>
      <dgm:t>
        <a:bodyPr/>
        <a:lstStyle/>
        <a:p>
          <a:r>
            <a:rPr lang="en-IE"/>
            <a:t>Selected Appendices</a:t>
          </a:r>
        </a:p>
      </dgm:t>
    </dgm:pt>
    <dgm:pt modelId="{11153A0F-C0F9-4699-ABC4-EC025DB09B29}" type="parTrans" cxnId="{64D92867-DBF7-4BF7-B3DA-AC61A5B5CEB9}">
      <dgm:prSet/>
      <dgm:spPr/>
      <dgm:t>
        <a:bodyPr/>
        <a:lstStyle/>
        <a:p>
          <a:endParaRPr lang="en-IE"/>
        </a:p>
      </dgm:t>
    </dgm:pt>
    <dgm:pt modelId="{81583B55-2C64-49C3-AA93-F1188C02FB7E}" type="sibTrans" cxnId="{64D92867-DBF7-4BF7-B3DA-AC61A5B5CEB9}">
      <dgm:prSet/>
      <dgm:spPr/>
      <dgm:t>
        <a:bodyPr/>
        <a:lstStyle/>
        <a:p>
          <a:endParaRPr lang="en-IE"/>
        </a:p>
      </dgm:t>
    </dgm:pt>
    <dgm:pt modelId="{58460A24-3874-4B81-A222-9D66C41D8872}" type="pres">
      <dgm:prSet presAssocID="{8D34F16D-7F5B-489A-B284-D5189FA65E8C}" presName="diagram" presStyleCnt="0">
        <dgm:presLayoutVars>
          <dgm:chPref val="1"/>
          <dgm:dir/>
          <dgm:animOne val="branch"/>
          <dgm:animLvl val="lvl"/>
          <dgm:resizeHandles val="exact"/>
        </dgm:presLayoutVars>
      </dgm:prSet>
      <dgm:spPr/>
      <dgm:t>
        <a:bodyPr/>
        <a:lstStyle/>
        <a:p>
          <a:endParaRPr lang="de-DE"/>
        </a:p>
      </dgm:t>
    </dgm:pt>
    <dgm:pt modelId="{29A1C4C2-39D6-47C4-92D5-D6A1781C282C}" type="pres">
      <dgm:prSet presAssocID="{2175CEBD-0F25-405B-BCC3-75BBBEDF82B1}" presName="root1" presStyleCnt="0"/>
      <dgm:spPr/>
    </dgm:pt>
    <dgm:pt modelId="{0370DD14-5639-435D-89FD-CBF1ACBE4671}" type="pres">
      <dgm:prSet presAssocID="{2175CEBD-0F25-405B-BCC3-75BBBEDF82B1}" presName="LevelOneTextNode" presStyleLbl="node0" presStyleIdx="0" presStyleCnt="1">
        <dgm:presLayoutVars>
          <dgm:chPref val="3"/>
        </dgm:presLayoutVars>
      </dgm:prSet>
      <dgm:spPr/>
      <dgm:t>
        <a:bodyPr/>
        <a:lstStyle/>
        <a:p>
          <a:endParaRPr lang="en-IE"/>
        </a:p>
      </dgm:t>
    </dgm:pt>
    <dgm:pt modelId="{ED7E0BE9-3F61-43CB-9F3F-D9512C91B21C}" type="pres">
      <dgm:prSet presAssocID="{2175CEBD-0F25-405B-BCC3-75BBBEDF82B1}" presName="level2hierChild" presStyleCnt="0"/>
      <dgm:spPr/>
    </dgm:pt>
    <dgm:pt modelId="{B2BF0CA0-CB8A-4997-9A56-A492550F8430}" type="pres">
      <dgm:prSet presAssocID="{DFF7C19A-E21F-4C8A-92D7-DA4A2FCEB9EC}" presName="conn2-1" presStyleLbl="parChTrans1D2" presStyleIdx="0" presStyleCnt="4"/>
      <dgm:spPr/>
      <dgm:t>
        <a:bodyPr/>
        <a:lstStyle/>
        <a:p>
          <a:endParaRPr lang="de-DE"/>
        </a:p>
      </dgm:t>
    </dgm:pt>
    <dgm:pt modelId="{FD08FC28-F803-4726-8EE9-C80ECB9C06CE}" type="pres">
      <dgm:prSet presAssocID="{DFF7C19A-E21F-4C8A-92D7-DA4A2FCEB9EC}" presName="connTx" presStyleLbl="parChTrans1D2" presStyleIdx="0" presStyleCnt="4"/>
      <dgm:spPr/>
      <dgm:t>
        <a:bodyPr/>
        <a:lstStyle/>
        <a:p>
          <a:endParaRPr lang="de-DE"/>
        </a:p>
      </dgm:t>
    </dgm:pt>
    <dgm:pt modelId="{6867E196-66D9-4502-B723-4713C2E49DC3}" type="pres">
      <dgm:prSet presAssocID="{25B80BC8-65B4-4751-A6A4-D18F58CFE172}" presName="root2" presStyleCnt="0"/>
      <dgm:spPr/>
    </dgm:pt>
    <dgm:pt modelId="{AAA21D5A-F6BE-4893-A862-98F69BD8782B}" type="pres">
      <dgm:prSet presAssocID="{25B80BC8-65B4-4751-A6A4-D18F58CFE172}" presName="LevelTwoTextNode" presStyleLbl="node2" presStyleIdx="0" presStyleCnt="4">
        <dgm:presLayoutVars>
          <dgm:chPref val="3"/>
        </dgm:presLayoutVars>
      </dgm:prSet>
      <dgm:spPr/>
      <dgm:t>
        <a:bodyPr/>
        <a:lstStyle/>
        <a:p>
          <a:endParaRPr lang="en-IE"/>
        </a:p>
      </dgm:t>
    </dgm:pt>
    <dgm:pt modelId="{8A304DB8-BD9E-4FA2-8E8C-A26383D2ABAA}" type="pres">
      <dgm:prSet presAssocID="{25B80BC8-65B4-4751-A6A4-D18F58CFE172}" presName="level3hierChild" presStyleCnt="0"/>
      <dgm:spPr/>
    </dgm:pt>
    <dgm:pt modelId="{7BB2FEA0-755B-4478-9BB7-B4AB5EAB6EA3}" type="pres">
      <dgm:prSet presAssocID="{BB010DFE-5CC8-4861-A065-5FA44568B896}" presName="conn2-1" presStyleLbl="parChTrans1D2" presStyleIdx="1" presStyleCnt="4"/>
      <dgm:spPr/>
      <dgm:t>
        <a:bodyPr/>
        <a:lstStyle/>
        <a:p>
          <a:endParaRPr lang="de-DE"/>
        </a:p>
      </dgm:t>
    </dgm:pt>
    <dgm:pt modelId="{F7E4F456-C7B5-4F6B-98AD-04D0B225B058}" type="pres">
      <dgm:prSet presAssocID="{BB010DFE-5CC8-4861-A065-5FA44568B896}" presName="connTx" presStyleLbl="parChTrans1D2" presStyleIdx="1" presStyleCnt="4"/>
      <dgm:spPr/>
      <dgm:t>
        <a:bodyPr/>
        <a:lstStyle/>
        <a:p>
          <a:endParaRPr lang="de-DE"/>
        </a:p>
      </dgm:t>
    </dgm:pt>
    <dgm:pt modelId="{423594E7-5A45-465C-AEB9-D439772967C9}" type="pres">
      <dgm:prSet presAssocID="{784DB458-669A-4BC8-B236-8B0C19C8517B}" presName="root2" presStyleCnt="0"/>
      <dgm:spPr/>
    </dgm:pt>
    <dgm:pt modelId="{046AC8B5-69F3-43C3-8BAF-7CD8A136312E}" type="pres">
      <dgm:prSet presAssocID="{784DB458-669A-4BC8-B236-8B0C19C8517B}" presName="LevelTwoTextNode" presStyleLbl="node2" presStyleIdx="1" presStyleCnt="4">
        <dgm:presLayoutVars>
          <dgm:chPref val="3"/>
        </dgm:presLayoutVars>
      </dgm:prSet>
      <dgm:spPr/>
      <dgm:t>
        <a:bodyPr/>
        <a:lstStyle/>
        <a:p>
          <a:endParaRPr lang="en-IE"/>
        </a:p>
      </dgm:t>
    </dgm:pt>
    <dgm:pt modelId="{4DA674DD-D52C-4BAD-915A-064C354563E7}" type="pres">
      <dgm:prSet presAssocID="{784DB458-669A-4BC8-B236-8B0C19C8517B}" presName="level3hierChild" presStyleCnt="0"/>
      <dgm:spPr/>
    </dgm:pt>
    <dgm:pt modelId="{4EAE753F-65A9-45B3-A019-09304DF5928B}" type="pres">
      <dgm:prSet presAssocID="{B3705EA1-B0A1-4F11-8A6D-592545260944}" presName="conn2-1" presStyleLbl="parChTrans1D3" presStyleIdx="0" presStyleCnt="3"/>
      <dgm:spPr/>
      <dgm:t>
        <a:bodyPr/>
        <a:lstStyle/>
        <a:p>
          <a:endParaRPr lang="de-DE"/>
        </a:p>
      </dgm:t>
    </dgm:pt>
    <dgm:pt modelId="{94E22FC4-4C40-4601-9346-5E73238A2126}" type="pres">
      <dgm:prSet presAssocID="{B3705EA1-B0A1-4F11-8A6D-592545260944}" presName="connTx" presStyleLbl="parChTrans1D3" presStyleIdx="0" presStyleCnt="3"/>
      <dgm:spPr/>
      <dgm:t>
        <a:bodyPr/>
        <a:lstStyle/>
        <a:p>
          <a:endParaRPr lang="de-DE"/>
        </a:p>
      </dgm:t>
    </dgm:pt>
    <dgm:pt modelId="{4B128DEB-8560-4B40-AB30-A508D85958C0}" type="pres">
      <dgm:prSet presAssocID="{0E0F7910-9B62-41BB-B348-8EB477179BBF}" presName="root2" presStyleCnt="0"/>
      <dgm:spPr/>
    </dgm:pt>
    <dgm:pt modelId="{DF0CADB7-B953-4A0D-96D3-6CDDA2C052EF}" type="pres">
      <dgm:prSet presAssocID="{0E0F7910-9B62-41BB-B348-8EB477179BBF}" presName="LevelTwoTextNode" presStyleLbl="node3" presStyleIdx="0" presStyleCnt="3">
        <dgm:presLayoutVars>
          <dgm:chPref val="3"/>
        </dgm:presLayoutVars>
      </dgm:prSet>
      <dgm:spPr/>
      <dgm:t>
        <a:bodyPr/>
        <a:lstStyle/>
        <a:p>
          <a:endParaRPr lang="en-IE"/>
        </a:p>
      </dgm:t>
    </dgm:pt>
    <dgm:pt modelId="{ECE40632-4C5E-4BB4-968B-8113BCE6BB25}" type="pres">
      <dgm:prSet presAssocID="{0E0F7910-9B62-41BB-B348-8EB477179BBF}" presName="level3hierChild" presStyleCnt="0"/>
      <dgm:spPr/>
    </dgm:pt>
    <dgm:pt modelId="{2A1CC9AD-41F3-4DCE-84FA-47009ED4C2C2}" type="pres">
      <dgm:prSet presAssocID="{D2491BC0-4E26-4961-A3D6-BA5FDDBBFC6B}" presName="conn2-1" presStyleLbl="parChTrans1D2" presStyleIdx="2" presStyleCnt="4"/>
      <dgm:spPr/>
      <dgm:t>
        <a:bodyPr/>
        <a:lstStyle/>
        <a:p>
          <a:endParaRPr lang="de-DE"/>
        </a:p>
      </dgm:t>
    </dgm:pt>
    <dgm:pt modelId="{D426EF20-81EF-4CC3-BF98-B2B92BD6CB5A}" type="pres">
      <dgm:prSet presAssocID="{D2491BC0-4E26-4961-A3D6-BA5FDDBBFC6B}" presName="connTx" presStyleLbl="parChTrans1D2" presStyleIdx="2" presStyleCnt="4"/>
      <dgm:spPr/>
      <dgm:t>
        <a:bodyPr/>
        <a:lstStyle/>
        <a:p>
          <a:endParaRPr lang="de-DE"/>
        </a:p>
      </dgm:t>
    </dgm:pt>
    <dgm:pt modelId="{926EB42C-14D9-4828-90D8-5CA4D546D31B}" type="pres">
      <dgm:prSet presAssocID="{0F359A9C-ACED-4893-B08E-E29E3983F160}" presName="root2" presStyleCnt="0"/>
      <dgm:spPr/>
    </dgm:pt>
    <dgm:pt modelId="{2D158E96-8267-480E-AEE0-D79AC06C7F64}" type="pres">
      <dgm:prSet presAssocID="{0F359A9C-ACED-4893-B08E-E29E3983F160}" presName="LevelTwoTextNode" presStyleLbl="node2" presStyleIdx="2" presStyleCnt="4">
        <dgm:presLayoutVars>
          <dgm:chPref val="3"/>
        </dgm:presLayoutVars>
      </dgm:prSet>
      <dgm:spPr/>
      <dgm:t>
        <a:bodyPr/>
        <a:lstStyle/>
        <a:p>
          <a:endParaRPr lang="en-IE"/>
        </a:p>
      </dgm:t>
    </dgm:pt>
    <dgm:pt modelId="{2324CB05-D05E-448F-8713-78B94A831072}" type="pres">
      <dgm:prSet presAssocID="{0F359A9C-ACED-4893-B08E-E29E3983F160}" presName="level3hierChild" presStyleCnt="0"/>
      <dgm:spPr/>
    </dgm:pt>
    <dgm:pt modelId="{C2DFD58E-ADB3-4B23-A7BA-49DAF1E35C12}" type="pres">
      <dgm:prSet presAssocID="{58DE2B38-51DC-4C26-9D36-FAA63BB41106}" presName="conn2-1" presStyleLbl="parChTrans1D3" presStyleIdx="1" presStyleCnt="3"/>
      <dgm:spPr/>
      <dgm:t>
        <a:bodyPr/>
        <a:lstStyle/>
        <a:p>
          <a:endParaRPr lang="de-DE"/>
        </a:p>
      </dgm:t>
    </dgm:pt>
    <dgm:pt modelId="{C15DDABC-7E3B-43D7-BD01-276442335576}" type="pres">
      <dgm:prSet presAssocID="{58DE2B38-51DC-4C26-9D36-FAA63BB41106}" presName="connTx" presStyleLbl="parChTrans1D3" presStyleIdx="1" presStyleCnt="3"/>
      <dgm:spPr/>
      <dgm:t>
        <a:bodyPr/>
        <a:lstStyle/>
        <a:p>
          <a:endParaRPr lang="de-DE"/>
        </a:p>
      </dgm:t>
    </dgm:pt>
    <dgm:pt modelId="{1C6C9CBC-51EB-47C4-9FFF-0882A6D0F691}" type="pres">
      <dgm:prSet presAssocID="{98E4F3A6-B14F-4663-8EB2-424CFA3F0BF0}" presName="root2" presStyleCnt="0"/>
      <dgm:spPr/>
    </dgm:pt>
    <dgm:pt modelId="{BEA2D0ED-A81D-4031-981E-13411A776F14}" type="pres">
      <dgm:prSet presAssocID="{98E4F3A6-B14F-4663-8EB2-424CFA3F0BF0}" presName="LevelTwoTextNode" presStyleLbl="node3" presStyleIdx="1" presStyleCnt="3" custLinFactNeighborX="1602" custLinFactNeighborY="-400">
        <dgm:presLayoutVars>
          <dgm:chPref val="3"/>
        </dgm:presLayoutVars>
      </dgm:prSet>
      <dgm:spPr/>
      <dgm:t>
        <a:bodyPr/>
        <a:lstStyle/>
        <a:p>
          <a:endParaRPr lang="de-DE"/>
        </a:p>
      </dgm:t>
    </dgm:pt>
    <dgm:pt modelId="{837ED01F-DE99-4EE4-B42C-6E6A47301E66}" type="pres">
      <dgm:prSet presAssocID="{98E4F3A6-B14F-4663-8EB2-424CFA3F0BF0}" presName="level3hierChild" presStyleCnt="0"/>
      <dgm:spPr/>
    </dgm:pt>
    <dgm:pt modelId="{DC7EAD21-C86C-4DDF-8EC0-EEB6E7ED93D2}" type="pres">
      <dgm:prSet presAssocID="{11153A0F-C0F9-4699-ABC4-EC025DB09B29}" presName="conn2-1" presStyleLbl="parChTrans1D3" presStyleIdx="2" presStyleCnt="3"/>
      <dgm:spPr/>
      <dgm:t>
        <a:bodyPr/>
        <a:lstStyle/>
        <a:p>
          <a:endParaRPr lang="de-DE"/>
        </a:p>
      </dgm:t>
    </dgm:pt>
    <dgm:pt modelId="{7B1C627D-86DF-4B6B-A2C6-80D8A59CED28}" type="pres">
      <dgm:prSet presAssocID="{11153A0F-C0F9-4699-ABC4-EC025DB09B29}" presName="connTx" presStyleLbl="parChTrans1D3" presStyleIdx="2" presStyleCnt="3"/>
      <dgm:spPr/>
      <dgm:t>
        <a:bodyPr/>
        <a:lstStyle/>
        <a:p>
          <a:endParaRPr lang="de-DE"/>
        </a:p>
      </dgm:t>
    </dgm:pt>
    <dgm:pt modelId="{F35C916E-D4AA-4F1A-93F1-8904D3B1E22E}" type="pres">
      <dgm:prSet presAssocID="{FA499F8F-2E32-4984-9D54-2A930E61D962}" presName="root2" presStyleCnt="0"/>
      <dgm:spPr/>
    </dgm:pt>
    <dgm:pt modelId="{2D8C44CB-133F-4BBC-9407-836A5A48A165}" type="pres">
      <dgm:prSet presAssocID="{FA499F8F-2E32-4984-9D54-2A930E61D962}" presName="LevelTwoTextNode" presStyleLbl="node3" presStyleIdx="2" presStyleCnt="3">
        <dgm:presLayoutVars>
          <dgm:chPref val="3"/>
        </dgm:presLayoutVars>
      </dgm:prSet>
      <dgm:spPr/>
      <dgm:t>
        <a:bodyPr/>
        <a:lstStyle/>
        <a:p>
          <a:endParaRPr lang="en-IE"/>
        </a:p>
      </dgm:t>
    </dgm:pt>
    <dgm:pt modelId="{76CE93C4-2B05-485C-BF68-D5C83ACD28C7}" type="pres">
      <dgm:prSet presAssocID="{FA499F8F-2E32-4984-9D54-2A930E61D962}" presName="level3hierChild" presStyleCnt="0"/>
      <dgm:spPr/>
    </dgm:pt>
    <dgm:pt modelId="{897F79A6-2933-455D-B871-9BDE4A773D96}" type="pres">
      <dgm:prSet presAssocID="{36A88AA5-BFBD-47C5-A14A-B259163A1F1F}" presName="conn2-1" presStyleLbl="parChTrans1D2" presStyleIdx="3" presStyleCnt="4"/>
      <dgm:spPr/>
      <dgm:t>
        <a:bodyPr/>
        <a:lstStyle/>
        <a:p>
          <a:endParaRPr lang="de-DE"/>
        </a:p>
      </dgm:t>
    </dgm:pt>
    <dgm:pt modelId="{E1B9951F-E2BE-4257-B5E6-7516B52566F4}" type="pres">
      <dgm:prSet presAssocID="{36A88AA5-BFBD-47C5-A14A-B259163A1F1F}" presName="connTx" presStyleLbl="parChTrans1D2" presStyleIdx="3" presStyleCnt="4"/>
      <dgm:spPr/>
      <dgm:t>
        <a:bodyPr/>
        <a:lstStyle/>
        <a:p>
          <a:endParaRPr lang="de-DE"/>
        </a:p>
      </dgm:t>
    </dgm:pt>
    <dgm:pt modelId="{A459204C-F996-45DF-9B7A-494C2EFDA695}" type="pres">
      <dgm:prSet presAssocID="{A3F15853-8466-4FD8-A2F0-2258C5590F14}" presName="root2" presStyleCnt="0"/>
      <dgm:spPr/>
    </dgm:pt>
    <dgm:pt modelId="{C12DACE2-23CC-4A8C-A961-436A98EA9F04}" type="pres">
      <dgm:prSet presAssocID="{A3F15853-8466-4FD8-A2F0-2258C5590F14}" presName="LevelTwoTextNode" presStyleLbl="node2" presStyleIdx="3" presStyleCnt="4">
        <dgm:presLayoutVars>
          <dgm:chPref val="3"/>
        </dgm:presLayoutVars>
      </dgm:prSet>
      <dgm:spPr/>
      <dgm:t>
        <a:bodyPr/>
        <a:lstStyle/>
        <a:p>
          <a:endParaRPr lang="en-IE"/>
        </a:p>
      </dgm:t>
    </dgm:pt>
    <dgm:pt modelId="{98D03523-00A2-4724-98C7-359050967028}" type="pres">
      <dgm:prSet presAssocID="{A3F15853-8466-4FD8-A2F0-2258C5590F14}" presName="level3hierChild" presStyleCnt="0"/>
      <dgm:spPr/>
    </dgm:pt>
  </dgm:ptLst>
  <dgm:cxnLst>
    <dgm:cxn modelId="{0F01A0A9-E9B2-46B8-A38C-8824A5539AFD}" srcId="{784DB458-669A-4BC8-B236-8B0C19C8517B}" destId="{0E0F7910-9B62-41BB-B348-8EB477179BBF}" srcOrd="0" destOrd="0" parTransId="{B3705EA1-B0A1-4F11-8A6D-592545260944}" sibTransId="{53A0707D-DCEE-4ECE-BFD5-D1D1589A5FF0}"/>
    <dgm:cxn modelId="{BF3E2487-A61A-4BC2-8554-CFC11BB2467B}" type="presOf" srcId="{0E0F7910-9B62-41BB-B348-8EB477179BBF}" destId="{DF0CADB7-B953-4A0D-96D3-6CDDA2C052EF}" srcOrd="0" destOrd="0" presId="urn:microsoft.com/office/officeart/2005/8/layout/hierarchy2"/>
    <dgm:cxn modelId="{16CD5001-0CC5-498D-A494-D93E0D327B46}" type="presOf" srcId="{A3F15853-8466-4FD8-A2F0-2258C5590F14}" destId="{C12DACE2-23CC-4A8C-A961-436A98EA9F04}" srcOrd="0" destOrd="0" presId="urn:microsoft.com/office/officeart/2005/8/layout/hierarchy2"/>
    <dgm:cxn modelId="{EE49138E-90EF-415C-B0C2-29DA28C84716}" type="presOf" srcId="{BB010DFE-5CC8-4861-A065-5FA44568B896}" destId="{7BB2FEA0-755B-4478-9BB7-B4AB5EAB6EA3}" srcOrd="0" destOrd="0" presId="urn:microsoft.com/office/officeart/2005/8/layout/hierarchy2"/>
    <dgm:cxn modelId="{7BFB1EC5-FB00-4D7B-97B8-F0C464CC41CA}" type="presOf" srcId="{2175CEBD-0F25-405B-BCC3-75BBBEDF82B1}" destId="{0370DD14-5639-435D-89FD-CBF1ACBE4671}" srcOrd="0" destOrd="0" presId="urn:microsoft.com/office/officeart/2005/8/layout/hierarchy2"/>
    <dgm:cxn modelId="{E561E2E9-0ED4-4F73-8B14-0E1AF286EC2F}" srcId="{0F359A9C-ACED-4893-B08E-E29E3983F160}" destId="{98E4F3A6-B14F-4663-8EB2-424CFA3F0BF0}" srcOrd="0" destOrd="0" parTransId="{58DE2B38-51DC-4C26-9D36-FAA63BB41106}" sibTransId="{37AF08B6-65FF-4901-88B6-A1D4B0339948}"/>
    <dgm:cxn modelId="{64D92867-DBF7-4BF7-B3DA-AC61A5B5CEB9}" srcId="{0F359A9C-ACED-4893-B08E-E29E3983F160}" destId="{FA499F8F-2E32-4984-9D54-2A930E61D962}" srcOrd="1" destOrd="0" parTransId="{11153A0F-C0F9-4699-ABC4-EC025DB09B29}" sibTransId="{81583B55-2C64-49C3-AA93-F1188C02FB7E}"/>
    <dgm:cxn modelId="{8965B051-F7BC-47DB-8A01-700E36C3DC95}" srcId="{2175CEBD-0F25-405B-BCC3-75BBBEDF82B1}" destId="{784DB458-669A-4BC8-B236-8B0C19C8517B}" srcOrd="1" destOrd="0" parTransId="{BB010DFE-5CC8-4861-A065-5FA44568B896}" sibTransId="{78B2A783-888A-48CE-B4F3-169CF1E4DDAE}"/>
    <dgm:cxn modelId="{C664E37D-2E55-4431-8686-965269BCBAF5}" type="presOf" srcId="{25B80BC8-65B4-4751-A6A4-D18F58CFE172}" destId="{AAA21D5A-F6BE-4893-A862-98F69BD8782B}" srcOrd="0" destOrd="0" presId="urn:microsoft.com/office/officeart/2005/8/layout/hierarchy2"/>
    <dgm:cxn modelId="{AFF983CB-B6BB-4BAC-A2F4-B5CA76FA32A3}" srcId="{2175CEBD-0F25-405B-BCC3-75BBBEDF82B1}" destId="{A3F15853-8466-4FD8-A2F0-2258C5590F14}" srcOrd="3" destOrd="0" parTransId="{36A88AA5-BFBD-47C5-A14A-B259163A1F1F}" sibTransId="{930C6017-EF51-4DC9-A558-C52C85EDE73D}"/>
    <dgm:cxn modelId="{1DB7BA99-600C-468F-ADBD-80F9581ECE23}" type="presOf" srcId="{11153A0F-C0F9-4699-ABC4-EC025DB09B29}" destId="{DC7EAD21-C86C-4DDF-8EC0-EEB6E7ED93D2}" srcOrd="0" destOrd="0" presId="urn:microsoft.com/office/officeart/2005/8/layout/hierarchy2"/>
    <dgm:cxn modelId="{BAB7902B-307C-44ED-ABD4-59E2078EEFA1}" type="presOf" srcId="{8D34F16D-7F5B-489A-B284-D5189FA65E8C}" destId="{58460A24-3874-4B81-A222-9D66C41D8872}" srcOrd="0" destOrd="0" presId="urn:microsoft.com/office/officeart/2005/8/layout/hierarchy2"/>
    <dgm:cxn modelId="{39E38606-E965-43C6-B8EC-CF07EE86AE25}" type="presOf" srcId="{DFF7C19A-E21F-4C8A-92D7-DA4A2FCEB9EC}" destId="{FD08FC28-F803-4726-8EE9-C80ECB9C06CE}" srcOrd="1" destOrd="0" presId="urn:microsoft.com/office/officeart/2005/8/layout/hierarchy2"/>
    <dgm:cxn modelId="{4D54D4BF-EA72-4010-8749-4B0539F743D3}" type="presOf" srcId="{BB010DFE-5CC8-4861-A065-5FA44568B896}" destId="{F7E4F456-C7B5-4F6B-98AD-04D0B225B058}" srcOrd="1" destOrd="0" presId="urn:microsoft.com/office/officeart/2005/8/layout/hierarchy2"/>
    <dgm:cxn modelId="{38D1B419-43EB-4CB4-900F-4BE94F725E12}" srcId="{8D34F16D-7F5B-489A-B284-D5189FA65E8C}" destId="{2175CEBD-0F25-405B-BCC3-75BBBEDF82B1}" srcOrd="0" destOrd="0" parTransId="{A3A0ADE9-3D74-4BCE-8113-9F4FA5DCFF53}" sibTransId="{5A352F0B-CA47-42CA-AC90-E83C6243666A}"/>
    <dgm:cxn modelId="{93DFB39A-A344-4836-8062-1C7DA26DF715}" type="presOf" srcId="{0F359A9C-ACED-4893-B08E-E29E3983F160}" destId="{2D158E96-8267-480E-AEE0-D79AC06C7F64}" srcOrd="0" destOrd="0" presId="urn:microsoft.com/office/officeart/2005/8/layout/hierarchy2"/>
    <dgm:cxn modelId="{98CE66C8-3C4F-4153-9379-20398BF7A08C}" type="presOf" srcId="{B3705EA1-B0A1-4F11-8A6D-592545260944}" destId="{94E22FC4-4C40-4601-9346-5E73238A2126}" srcOrd="1" destOrd="0" presId="urn:microsoft.com/office/officeart/2005/8/layout/hierarchy2"/>
    <dgm:cxn modelId="{1E78890B-3836-4F47-B96F-C5734E87B1E9}" type="presOf" srcId="{D2491BC0-4E26-4961-A3D6-BA5FDDBBFC6B}" destId="{2A1CC9AD-41F3-4DCE-84FA-47009ED4C2C2}" srcOrd="0" destOrd="0" presId="urn:microsoft.com/office/officeart/2005/8/layout/hierarchy2"/>
    <dgm:cxn modelId="{A398E626-E85E-480E-92A4-B6E69E2E36FC}" type="presOf" srcId="{FA499F8F-2E32-4984-9D54-2A930E61D962}" destId="{2D8C44CB-133F-4BBC-9407-836A5A48A165}" srcOrd="0" destOrd="0" presId="urn:microsoft.com/office/officeart/2005/8/layout/hierarchy2"/>
    <dgm:cxn modelId="{F14BC75E-1F23-4881-BEBE-B66AAA927A4E}" type="presOf" srcId="{36A88AA5-BFBD-47C5-A14A-B259163A1F1F}" destId="{897F79A6-2933-455D-B871-9BDE4A773D96}" srcOrd="0" destOrd="0" presId="urn:microsoft.com/office/officeart/2005/8/layout/hierarchy2"/>
    <dgm:cxn modelId="{2E3C7BEC-9124-40CF-875A-04403E51810D}" type="presOf" srcId="{DFF7C19A-E21F-4C8A-92D7-DA4A2FCEB9EC}" destId="{B2BF0CA0-CB8A-4997-9A56-A492550F8430}" srcOrd="0" destOrd="0" presId="urn:microsoft.com/office/officeart/2005/8/layout/hierarchy2"/>
    <dgm:cxn modelId="{B2C01704-4552-4D67-8AE5-1790BDEEAA64}" type="presOf" srcId="{D2491BC0-4E26-4961-A3D6-BA5FDDBBFC6B}" destId="{D426EF20-81EF-4CC3-BF98-B2B92BD6CB5A}" srcOrd="1" destOrd="0" presId="urn:microsoft.com/office/officeart/2005/8/layout/hierarchy2"/>
    <dgm:cxn modelId="{EA8EEA3A-7D8E-472A-88BA-406E4E40A242}" type="presOf" srcId="{58DE2B38-51DC-4C26-9D36-FAA63BB41106}" destId="{C2DFD58E-ADB3-4B23-A7BA-49DAF1E35C12}" srcOrd="0" destOrd="0" presId="urn:microsoft.com/office/officeart/2005/8/layout/hierarchy2"/>
    <dgm:cxn modelId="{B625EBA7-A00D-4265-9AAD-DDC82CAC2D0A}" type="presOf" srcId="{784DB458-669A-4BC8-B236-8B0C19C8517B}" destId="{046AC8B5-69F3-43C3-8BAF-7CD8A136312E}" srcOrd="0" destOrd="0" presId="urn:microsoft.com/office/officeart/2005/8/layout/hierarchy2"/>
    <dgm:cxn modelId="{82C68B94-9E90-4C13-9B28-84AB675C16AE}" srcId="{2175CEBD-0F25-405B-BCC3-75BBBEDF82B1}" destId="{25B80BC8-65B4-4751-A6A4-D18F58CFE172}" srcOrd="0" destOrd="0" parTransId="{DFF7C19A-E21F-4C8A-92D7-DA4A2FCEB9EC}" sibTransId="{ED936FF3-C42F-4647-9BCB-EF8E5CC876E3}"/>
    <dgm:cxn modelId="{76F14929-9418-4D41-9115-4FA0B2DE1EDD}" srcId="{2175CEBD-0F25-405B-BCC3-75BBBEDF82B1}" destId="{0F359A9C-ACED-4893-B08E-E29E3983F160}" srcOrd="2" destOrd="0" parTransId="{D2491BC0-4E26-4961-A3D6-BA5FDDBBFC6B}" sibTransId="{BA021BDE-00D9-4F87-8F27-02D0D200CBA2}"/>
    <dgm:cxn modelId="{390EFA8F-812A-46CC-AF4F-C5910F4FF40C}" type="presOf" srcId="{36A88AA5-BFBD-47C5-A14A-B259163A1F1F}" destId="{E1B9951F-E2BE-4257-B5E6-7516B52566F4}" srcOrd="1" destOrd="0" presId="urn:microsoft.com/office/officeart/2005/8/layout/hierarchy2"/>
    <dgm:cxn modelId="{9CBA2B24-1F1E-405A-95FE-1350151F2EFF}" type="presOf" srcId="{B3705EA1-B0A1-4F11-8A6D-592545260944}" destId="{4EAE753F-65A9-45B3-A019-09304DF5928B}" srcOrd="0" destOrd="0" presId="urn:microsoft.com/office/officeart/2005/8/layout/hierarchy2"/>
    <dgm:cxn modelId="{EB02F0D7-6F46-4BE3-99F8-2A88A0B64D41}" type="presOf" srcId="{58DE2B38-51DC-4C26-9D36-FAA63BB41106}" destId="{C15DDABC-7E3B-43D7-BD01-276442335576}" srcOrd="1" destOrd="0" presId="urn:microsoft.com/office/officeart/2005/8/layout/hierarchy2"/>
    <dgm:cxn modelId="{0A75A222-47C4-4150-ABA7-3AB9E9F2B36E}" type="presOf" srcId="{11153A0F-C0F9-4699-ABC4-EC025DB09B29}" destId="{7B1C627D-86DF-4B6B-A2C6-80D8A59CED28}" srcOrd="1" destOrd="0" presId="urn:microsoft.com/office/officeart/2005/8/layout/hierarchy2"/>
    <dgm:cxn modelId="{2DF87C16-DB09-48BF-B307-1EF1BAD1579B}" type="presOf" srcId="{98E4F3A6-B14F-4663-8EB2-424CFA3F0BF0}" destId="{BEA2D0ED-A81D-4031-981E-13411A776F14}" srcOrd="0" destOrd="0" presId="urn:microsoft.com/office/officeart/2005/8/layout/hierarchy2"/>
    <dgm:cxn modelId="{15505F9A-77B4-4CD4-925A-13B6CD046F07}" type="presParOf" srcId="{58460A24-3874-4B81-A222-9D66C41D8872}" destId="{29A1C4C2-39D6-47C4-92D5-D6A1781C282C}" srcOrd="0" destOrd="0" presId="urn:microsoft.com/office/officeart/2005/8/layout/hierarchy2"/>
    <dgm:cxn modelId="{2A56A7BE-596E-4F50-B53F-84E835D78564}" type="presParOf" srcId="{29A1C4C2-39D6-47C4-92D5-D6A1781C282C}" destId="{0370DD14-5639-435D-89FD-CBF1ACBE4671}" srcOrd="0" destOrd="0" presId="urn:microsoft.com/office/officeart/2005/8/layout/hierarchy2"/>
    <dgm:cxn modelId="{6C8E442E-DBEF-44EA-A557-01305A6F46CC}" type="presParOf" srcId="{29A1C4C2-39D6-47C4-92D5-D6A1781C282C}" destId="{ED7E0BE9-3F61-43CB-9F3F-D9512C91B21C}" srcOrd="1" destOrd="0" presId="urn:microsoft.com/office/officeart/2005/8/layout/hierarchy2"/>
    <dgm:cxn modelId="{C0852308-E87B-490F-BAFF-13B95C22C8C3}" type="presParOf" srcId="{ED7E0BE9-3F61-43CB-9F3F-D9512C91B21C}" destId="{B2BF0CA0-CB8A-4997-9A56-A492550F8430}" srcOrd="0" destOrd="0" presId="urn:microsoft.com/office/officeart/2005/8/layout/hierarchy2"/>
    <dgm:cxn modelId="{2115DF7C-3F98-461C-908E-1BA9E99C7276}" type="presParOf" srcId="{B2BF0CA0-CB8A-4997-9A56-A492550F8430}" destId="{FD08FC28-F803-4726-8EE9-C80ECB9C06CE}" srcOrd="0" destOrd="0" presId="urn:microsoft.com/office/officeart/2005/8/layout/hierarchy2"/>
    <dgm:cxn modelId="{661CD6AD-425A-45CB-9E6F-F1A62D564ECE}" type="presParOf" srcId="{ED7E0BE9-3F61-43CB-9F3F-D9512C91B21C}" destId="{6867E196-66D9-4502-B723-4713C2E49DC3}" srcOrd="1" destOrd="0" presId="urn:microsoft.com/office/officeart/2005/8/layout/hierarchy2"/>
    <dgm:cxn modelId="{D85625F1-8BD0-42B3-BEB6-C637C1370821}" type="presParOf" srcId="{6867E196-66D9-4502-B723-4713C2E49DC3}" destId="{AAA21D5A-F6BE-4893-A862-98F69BD8782B}" srcOrd="0" destOrd="0" presId="urn:microsoft.com/office/officeart/2005/8/layout/hierarchy2"/>
    <dgm:cxn modelId="{71083C31-B592-471F-9A3F-D5038B52BD2F}" type="presParOf" srcId="{6867E196-66D9-4502-B723-4713C2E49DC3}" destId="{8A304DB8-BD9E-4FA2-8E8C-A26383D2ABAA}" srcOrd="1" destOrd="0" presId="urn:microsoft.com/office/officeart/2005/8/layout/hierarchy2"/>
    <dgm:cxn modelId="{392C4D22-EC26-494E-B2E7-805D98A46D4D}" type="presParOf" srcId="{ED7E0BE9-3F61-43CB-9F3F-D9512C91B21C}" destId="{7BB2FEA0-755B-4478-9BB7-B4AB5EAB6EA3}" srcOrd="2" destOrd="0" presId="urn:microsoft.com/office/officeart/2005/8/layout/hierarchy2"/>
    <dgm:cxn modelId="{57871C53-6DE1-4533-A09C-A17683AD9D8E}" type="presParOf" srcId="{7BB2FEA0-755B-4478-9BB7-B4AB5EAB6EA3}" destId="{F7E4F456-C7B5-4F6B-98AD-04D0B225B058}" srcOrd="0" destOrd="0" presId="urn:microsoft.com/office/officeart/2005/8/layout/hierarchy2"/>
    <dgm:cxn modelId="{7C4125EB-FAAF-4400-972E-C2070E2A6933}" type="presParOf" srcId="{ED7E0BE9-3F61-43CB-9F3F-D9512C91B21C}" destId="{423594E7-5A45-465C-AEB9-D439772967C9}" srcOrd="3" destOrd="0" presId="urn:microsoft.com/office/officeart/2005/8/layout/hierarchy2"/>
    <dgm:cxn modelId="{3203EC42-17E9-406E-98BE-5684474E6B57}" type="presParOf" srcId="{423594E7-5A45-465C-AEB9-D439772967C9}" destId="{046AC8B5-69F3-43C3-8BAF-7CD8A136312E}" srcOrd="0" destOrd="0" presId="urn:microsoft.com/office/officeart/2005/8/layout/hierarchy2"/>
    <dgm:cxn modelId="{1FD79D99-3602-4211-A5C2-8382E1D9831E}" type="presParOf" srcId="{423594E7-5A45-465C-AEB9-D439772967C9}" destId="{4DA674DD-D52C-4BAD-915A-064C354563E7}" srcOrd="1" destOrd="0" presId="urn:microsoft.com/office/officeart/2005/8/layout/hierarchy2"/>
    <dgm:cxn modelId="{D4EACA6A-3543-466B-89F6-63DF520F1249}" type="presParOf" srcId="{4DA674DD-D52C-4BAD-915A-064C354563E7}" destId="{4EAE753F-65A9-45B3-A019-09304DF5928B}" srcOrd="0" destOrd="0" presId="urn:microsoft.com/office/officeart/2005/8/layout/hierarchy2"/>
    <dgm:cxn modelId="{348B87F6-E5B8-4AF1-8CEB-C7D1AFF6AD8E}" type="presParOf" srcId="{4EAE753F-65A9-45B3-A019-09304DF5928B}" destId="{94E22FC4-4C40-4601-9346-5E73238A2126}" srcOrd="0" destOrd="0" presId="urn:microsoft.com/office/officeart/2005/8/layout/hierarchy2"/>
    <dgm:cxn modelId="{8A4B04EF-68C3-45F9-B806-76C14F838C56}" type="presParOf" srcId="{4DA674DD-D52C-4BAD-915A-064C354563E7}" destId="{4B128DEB-8560-4B40-AB30-A508D85958C0}" srcOrd="1" destOrd="0" presId="urn:microsoft.com/office/officeart/2005/8/layout/hierarchy2"/>
    <dgm:cxn modelId="{C65E2A6B-3F84-4C20-AA77-D59DBF7CB6C6}" type="presParOf" srcId="{4B128DEB-8560-4B40-AB30-A508D85958C0}" destId="{DF0CADB7-B953-4A0D-96D3-6CDDA2C052EF}" srcOrd="0" destOrd="0" presId="urn:microsoft.com/office/officeart/2005/8/layout/hierarchy2"/>
    <dgm:cxn modelId="{786AD982-67BC-4C48-A426-92DB071F095F}" type="presParOf" srcId="{4B128DEB-8560-4B40-AB30-A508D85958C0}" destId="{ECE40632-4C5E-4BB4-968B-8113BCE6BB25}" srcOrd="1" destOrd="0" presId="urn:microsoft.com/office/officeart/2005/8/layout/hierarchy2"/>
    <dgm:cxn modelId="{66F6324B-93AC-41C8-A798-CD00C250D913}" type="presParOf" srcId="{ED7E0BE9-3F61-43CB-9F3F-D9512C91B21C}" destId="{2A1CC9AD-41F3-4DCE-84FA-47009ED4C2C2}" srcOrd="4" destOrd="0" presId="urn:microsoft.com/office/officeart/2005/8/layout/hierarchy2"/>
    <dgm:cxn modelId="{E10A71C2-F608-49D9-B8E8-9F459ABE6DE4}" type="presParOf" srcId="{2A1CC9AD-41F3-4DCE-84FA-47009ED4C2C2}" destId="{D426EF20-81EF-4CC3-BF98-B2B92BD6CB5A}" srcOrd="0" destOrd="0" presId="urn:microsoft.com/office/officeart/2005/8/layout/hierarchy2"/>
    <dgm:cxn modelId="{A7180A00-AE76-4387-9961-535707D4C00D}" type="presParOf" srcId="{ED7E0BE9-3F61-43CB-9F3F-D9512C91B21C}" destId="{926EB42C-14D9-4828-90D8-5CA4D546D31B}" srcOrd="5" destOrd="0" presId="urn:microsoft.com/office/officeart/2005/8/layout/hierarchy2"/>
    <dgm:cxn modelId="{7977ED2B-CC1F-45BA-B076-AC24C569DE01}" type="presParOf" srcId="{926EB42C-14D9-4828-90D8-5CA4D546D31B}" destId="{2D158E96-8267-480E-AEE0-D79AC06C7F64}" srcOrd="0" destOrd="0" presId="urn:microsoft.com/office/officeart/2005/8/layout/hierarchy2"/>
    <dgm:cxn modelId="{15633CE7-3FCA-4C79-A266-AD8A05871079}" type="presParOf" srcId="{926EB42C-14D9-4828-90D8-5CA4D546D31B}" destId="{2324CB05-D05E-448F-8713-78B94A831072}" srcOrd="1" destOrd="0" presId="urn:microsoft.com/office/officeart/2005/8/layout/hierarchy2"/>
    <dgm:cxn modelId="{3AA77FF4-0DD8-4278-9689-AE0887C9D978}" type="presParOf" srcId="{2324CB05-D05E-448F-8713-78B94A831072}" destId="{C2DFD58E-ADB3-4B23-A7BA-49DAF1E35C12}" srcOrd="0" destOrd="0" presId="urn:microsoft.com/office/officeart/2005/8/layout/hierarchy2"/>
    <dgm:cxn modelId="{E96F17DE-DACB-4013-A8AA-AC5CF25028DA}" type="presParOf" srcId="{C2DFD58E-ADB3-4B23-A7BA-49DAF1E35C12}" destId="{C15DDABC-7E3B-43D7-BD01-276442335576}" srcOrd="0" destOrd="0" presId="urn:microsoft.com/office/officeart/2005/8/layout/hierarchy2"/>
    <dgm:cxn modelId="{206D9072-1F96-42D5-8FD3-9C6240B444AB}" type="presParOf" srcId="{2324CB05-D05E-448F-8713-78B94A831072}" destId="{1C6C9CBC-51EB-47C4-9FFF-0882A6D0F691}" srcOrd="1" destOrd="0" presId="urn:microsoft.com/office/officeart/2005/8/layout/hierarchy2"/>
    <dgm:cxn modelId="{2CC06BE4-9499-4DE2-9161-6F1D58564DD8}" type="presParOf" srcId="{1C6C9CBC-51EB-47C4-9FFF-0882A6D0F691}" destId="{BEA2D0ED-A81D-4031-981E-13411A776F14}" srcOrd="0" destOrd="0" presId="urn:microsoft.com/office/officeart/2005/8/layout/hierarchy2"/>
    <dgm:cxn modelId="{286DEABB-5513-4E4A-9AF4-B1935A55FE3E}" type="presParOf" srcId="{1C6C9CBC-51EB-47C4-9FFF-0882A6D0F691}" destId="{837ED01F-DE99-4EE4-B42C-6E6A47301E66}" srcOrd="1" destOrd="0" presId="urn:microsoft.com/office/officeart/2005/8/layout/hierarchy2"/>
    <dgm:cxn modelId="{8761030E-B742-4870-B9F6-9A6DDE95AA24}" type="presParOf" srcId="{2324CB05-D05E-448F-8713-78B94A831072}" destId="{DC7EAD21-C86C-4DDF-8EC0-EEB6E7ED93D2}" srcOrd="2" destOrd="0" presId="urn:microsoft.com/office/officeart/2005/8/layout/hierarchy2"/>
    <dgm:cxn modelId="{15EF33AA-8A31-42BC-B788-4CA6675335B1}" type="presParOf" srcId="{DC7EAD21-C86C-4DDF-8EC0-EEB6E7ED93D2}" destId="{7B1C627D-86DF-4B6B-A2C6-80D8A59CED28}" srcOrd="0" destOrd="0" presId="urn:microsoft.com/office/officeart/2005/8/layout/hierarchy2"/>
    <dgm:cxn modelId="{55E5D2E1-AA70-4A14-81AE-677A41A761E1}" type="presParOf" srcId="{2324CB05-D05E-448F-8713-78B94A831072}" destId="{F35C916E-D4AA-4F1A-93F1-8904D3B1E22E}" srcOrd="3" destOrd="0" presId="urn:microsoft.com/office/officeart/2005/8/layout/hierarchy2"/>
    <dgm:cxn modelId="{ABB0109F-9324-4E3B-88D2-0228872B33E9}" type="presParOf" srcId="{F35C916E-D4AA-4F1A-93F1-8904D3B1E22E}" destId="{2D8C44CB-133F-4BBC-9407-836A5A48A165}" srcOrd="0" destOrd="0" presId="urn:microsoft.com/office/officeart/2005/8/layout/hierarchy2"/>
    <dgm:cxn modelId="{F30AAD53-6E1F-4967-B91A-2B7102D5E28B}" type="presParOf" srcId="{F35C916E-D4AA-4F1A-93F1-8904D3B1E22E}" destId="{76CE93C4-2B05-485C-BF68-D5C83ACD28C7}" srcOrd="1" destOrd="0" presId="urn:microsoft.com/office/officeart/2005/8/layout/hierarchy2"/>
    <dgm:cxn modelId="{B7622A83-730C-44A5-B214-911854AFE163}" type="presParOf" srcId="{ED7E0BE9-3F61-43CB-9F3F-D9512C91B21C}" destId="{897F79A6-2933-455D-B871-9BDE4A773D96}" srcOrd="6" destOrd="0" presId="urn:microsoft.com/office/officeart/2005/8/layout/hierarchy2"/>
    <dgm:cxn modelId="{92AE4A7F-2AB4-4F6C-8AE4-F541C074F9CB}" type="presParOf" srcId="{897F79A6-2933-455D-B871-9BDE4A773D96}" destId="{E1B9951F-E2BE-4257-B5E6-7516B52566F4}" srcOrd="0" destOrd="0" presId="urn:microsoft.com/office/officeart/2005/8/layout/hierarchy2"/>
    <dgm:cxn modelId="{9E1B93AC-368E-4AFA-AAED-50918F7EC250}" type="presParOf" srcId="{ED7E0BE9-3F61-43CB-9F3F-D9512C91B21C}" destId="{A459204C-F996-45DF-9B7A-494C2EFDA695}" srcOrd="7" destOrd="0" presId="urn:microsoft.com/office/officeart/2005/8/layout/hierarchy2"/>
    <dgm:cxn modelId="{8139C224-B0CC-4225-99E9-28112CF7EE37}" type="presParOf" srcId="{A459204C-F996-45DF-9B7A-494C2EFDA695}" destId="{C12DACE2-23CC-4A8C-A961-436A98EA9F04}" srcOrd="0" destOrd="0" presId="urn:microsoft.com/office/officeart/2005/8/layout/hierarchy2"/>
    <dgm:cxn modelId="{3E700450-ECFE-43E4-A70B-474EBE5203DC}" type="presParOf" srcId="{A459204C-F996-45DF-9B7A-494C2EFDA695}" destId="{98D03523-00A2-4724-98C7-359050967028}" srcOrd="1" destOrd="0" presId="urn:microsoft.com/office/officeart/2005/8/layout/hierarchy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370DD14-5639-435D-89FD-CBF1ACBE4671}">
      <dsp:nvSpPr>
        <dsp:cNvPr id="0" name=""/>
        <dsp:cNvSpPr/>
      </dsp:nvSpPr>
      <dsp:spPr>
        <a:xfrm>
          <a:off x="373707" y="2197372"/>
          <a:ext cx="2183308" cy="1091654"/>
        </a:xfrm>
        <a:prstGeom prst="roundRect">
          <a:avLst>
            <a:gd name="adj" fmla="val 10000"/>
          </a:avLst>
        </a:prstGeom>
        <a:solidFill>
          <a:srgbClr val="92D05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IE" sz="700" kern="1200">
              <a:solidFill>
                <a:schemeClr val="tx1"/>
              </a:solidFill>
            </a:rPr>
            <a:t>Draft IALA Recommendation e-NAV 140 on the Architecture for the Shore-based Infrastructure ‘fit for e-Navigation’ (Ed. 2: 2015))</a:t>
          </a:r>
        </a:p>
        <a:p>
          <a:pPr lvl="0" algn="ctr" defTabSz="311150">
            <a:lnSpc>
              <a:spcPct val="90000"/>
            </a:lnSpc>
            <a:spcBef>
              <a:spcPct val="0"/>
            </a:spcBef>
            <a:spcAft>
              <a:spcPct val="35000"/>
            </a:spcAft>
          </a:pPr>
          <a:r>
            <a:rPr lang="en-IE" sz="700" kern="1200">
              <a:solidFill>
                <a:srgbClr val="FF0000"/>
              </a:solidFill>
            </a:rPr>
            <a:t>Key principles regarding architecture for the shore-based infrastructure ‘fit for e-Navigation’</a:t>
          </a:r>
        </a:p>
      </dsp:txBody>
      <dsp:txXfrm>
        <a:off x="405680" y="2229345"/>
        <a:ext cx="2119362" cy="1027708"/>
      </dsp:txXfrm>
    </dsp:sp>
    <dsp:sp modelId="{B2BF0CA0-CB8A-4997-9A56-A492550F8430}">
      <dsp:nvSpPr>
        <dsp:cNvPr id="0" name=""/>
        <dsp:cNvSpPr/>
      </dsp:nvSpPr>
      <dsp:spPr>
        <a:xfrm rot="17500715">
          <a:off x="1811592" y="1626815"/>
          <a:ext cx="2364170" cy="35815"/>
        </a:xfrm>
        <a:custGeom>
          <a:avLst/>
          <a:gdLst/>
          <a:ahLst/>
          <a:cxnLst/>
          <a:rect l="0" t="0" r="0" b="0"/>
          <a:pathLst>
            <a:path>
              <a:moveTo>
                <a:pt x="0" y="17907"/>
              </a:moveTo>
              <a:lnTo>
                <a:pt x="2364170" y="179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IE" sz="600" kern="1200"/>
        </a:p>
      </dsp:txBody>
      <dsp:txXfrm>
        <a:off x="2934573" y="1585618"/>
        <a:ext cx="118208" cy="118208"/>
      </dsp:txXfrm>
    </dsp:sp>
    <dsp:sp modelId="{AAA21D5A-F6BE-4893-A862-98F69BD8782B}">
      <dsp:nvSpPr>
        <dsp:cNvPr id="0" name=""/>
        <dsp:cNvSpPr/>
      </dsp:nvSpPr>
      <dsp:spPr>
        <a:xfrm>
          <a:off x="3430339" y="418"/>
          <a:ext cx="2183308" cy="1091654"/>
        </a:xfrm>
        <a:prstGeom prst="roundRect">
          <a:avLst>
            <a:gd name="adj" fmla="val 10000"/>
          </a:avLst>
        </a:prstGeom>
        <a:solidFill>
          <a:srgbClr val="92D05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IE" sz="700" kern="1200">
              <a:solidFill>
                <a:schemeClr val="tx1"/>
              </a:solidFill>
            </a:rPr>
            <a:t>Draft IALA Guideline [&lt;No x&gt;] on Design and Implementation Principles for harmonized System Architectures of Shore-based Infrastructure</a:t>
          </a:r>
        </a:p>
        <a:p>
          <a:pPr lvl="0" algn="ctr" defTabSz="311150">
            <a:lnSpc>
              <a:spcPct val="90000"/>
            </a:lnSpc>
            <a:spcBef>
              <a:spcPct val="0"/>
            </a:spcBef>
            <a:spcAft>
              <a:spcPct val="35000"/>
            </a:spcAft>
          </a:pPr>
          <a:r>
            <a:rPr lang="en-IE" sz="700" kern="1200">
              <a:solidFill>
                <a:srgbClr val="FF0000"/>
              </a:solidFill>
            </a:rPr>
            <a:t>Introductory description, as a ‘best practice,’  of how state-of-the-art system engineering princi-ples can be brought together under and be harmonized with the aspirations of the holistic overarch-ing architecture defined by IMO for e-Navigation.</a:t>
          </a:r>
        </a:p>
      </dsp:txBody>
      <dsp:txXfrm>
        <a:off x="3462312" y="32391"/>
        <a:ext cx="2119362" cy="1027708"/>
      </dsp:txXfrm>
    </dsp:sp>
    <dsp:sp modelId="{7BB2FEA0-755B-4478-9BB7-B4AB5EAB6EA3}">
      <dsp:nvSpPr>
        <dsp:cNvPr id="0" name=""/>
        <dsp:cNvSpPr/>
      </dsp:nvSpPr>
      <dsp:spPr>
        <a:xfrm rot="18770822">
          <a:off x="2351569" y="2254516"/>
          <a:ext cx="1284217" cy="35815"/>
        </a:xfrm>
        <a:custGeom>
          <a:avLst/>
          <a:gdLst/>
          <a:ahLst/>
          <a:cxnLst/>
          <a:rect l="0" t="0" r="0" b="0"/>
          <a:pathLst>
            <a:path>
              <a:moveTo>
                <a:pt x="0" y="17907"/>
              </a:moveTo>
              <a:lnTo>
                <a:pt x="1284217" y="179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IE" sz="500" kern="1200"/>
        </a:p>
      </dsp:txBody>
      <dsp:txXfrm>
        <a:off x="2961572" y="2240318"/>
        <a:ext cx="64210" cy="64210"/>
      </dsp:txXfrm>
    </dsp:sp>
    <dsp:sp modelId="{046AC8B5-69F3-43C3-8BAF-7CD8A136312E}">
      <dsp:nvSpPr>
        <dsp:cNvPr id="0" name=""/>
        <dsp:cNvSpPr/>
      </dsp:nvSpPr>
      <dsp:spPr>
        <a:xfrm>
          <a:off x="3430339" y="1255821"/>
          <a:ext cx="2183308" cy="1091654"/>
        </a:xfrm>
        <a:prstGeom prst="roundRect">
          <a:avLst>
            <a:gd name="adj" fmla="val 10000"/>
          </a:avLst>
        </a:prstGeom>
        <a:solidFill>
          <a:srgbClr val="92D05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IE" sz="700" kern="1200">
              <a:solidFill>
                <a:schemeClr val="tx1"/>
              </a:solidFill>
            </a:rPr>
            <a:t>Draft IALA Guideline [&lt;No x+1&gt;] on a Technical Specification for the Common Shore-based System Architecture (CSSA)</a:t>
          </a:r>
        </a:p>
        <a:p>
          <a:pPr lvl="0" algn="ctr" defTabSz="311150">
            <a:lnSpc>
              <a:spcPct val="90000"/>
            </a:lnSpc>
            <a:spcBef>
              <a:spcPct val="0"/>
            </a:spcBef>
            <a:spcAft>
              <a:spcPct val="35000"/>
            </a:spcAft>
          </a:pPr>
          <a:r>
            <a:rPr lang="en-IE" sz="700" kern="1200">
              <a:solidFill>
                <a:srgbClr val="FF0000"/>
              </a:solidFill>
            </a:rPr>
            <a:t>Technical specification, as a ‘best practice,’  of how IALA members could set up (as national mem-bers) or contribute to such systems (as industrial members) within a common system engineering reference framework</a:t>
          </a:r>
        </a:p>
      </dsp:txBody>
      <dsp:txXfrm>
        <a:off x="3462312" y="1287794"/>
        <a:ext cx="2119362" cy="1027708"/>
      </dsp:txXfrm>
    </dsp:sp>
    <dsp:sp modelId="{4EAE753F-65A9-45B3-A019-09304DF5928B}">
      <dsp:nvSpPr>
        <dsp:cNvPr id="0" name=""/>
        <dsp:cNvSpPr/>
      </dsp:nvSpPr>
      <dsp:spPr>
        <a:xfrm>
          <a:off x="5613648" y="1783740"/>
          <a:ext cx="873323" cy="35815"/>
        </a:xfrm>
        <a:custGeom>
          <a:avLst/>
          <a:gdLst/>
          <a:ahLst/>
          <a:cxnLst/>
          <a:rect l="0" t="0" r="0" b="0"/>
          <a:pathLst>
            <a:path>
              <a:moveTo>
                <a:pt x="0" y="17907"/>
              </a:moveTo>
              <a:lnTo>
                <a:pt x="873323" y="1790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IE" sz="500" kern="1200"/>
        </a:p>
      </dsp:txBody>
      <dsp:txXfrm>
        <a:off x="6028476" y="1779815"/>
        <a:ext cx="43666" cy="43666"/>
      </dsp:txXfrm>
    </dsp:sp>
    <dsp:sp modelId="{DF0CADB7-B953-4A0D-96D3-6CDDA2C052EF}">
      <dsp:nvSpPr>
        <dsp:cNvPr id="0" name=""/>
        <dsp:cNvSpPr/>
      </dsp:nvSpPr>
      <dsp:spPr>
        <a:xfrm>
          <a:off x="6486971" y="1255821"/>
          <a:ext cx="2183308" cy="1091654"/>
        </a:xfrm>
        <a:prstGeom prst="roundRect">
          <a:avLst>
            <a:gd name="adj" fmla="val 10000"/>
          </a:avLst>
        </a:prstGeom>
        <a:solidFill>
          <a:srgbClr val="92D05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IE" sz="700" kern="1200">
              <a:solidFill>
                <a:schemeClr val="tx1"/>
              </a:solidFill>
            </a:rPr>
            <a:t>Appendix 1</a:t>
          </a:r>
        </a:p>
        <a:p>
          <a:pPr lvl="0" algn="ctr" defTabSz="311150">
            <a:lnSpc>
              <a:spcPct val="90000"/>
            </a:lnSpc>
            <a:spcBef>
              <a:spcPct val="0"/>
            </a:spcBef>
            <a:spcAft>
              <a:spcPct val="35000"/>
            </a:spcAft>
          </a:pPr>
          <a:r>
            <a:rPr lang="en-IE" sz="700" kern="1200">
              <a:solidFill>
                <a:srgbClr val="FF0000"/>
              </a:solidFill>
            </a:rPr>
            <a:t>Application note to demonstrate how the notions of the CSSA, MSPs and Maritime Cloud can be harmonized and how the notions of the MSPs and Maritime Cloud may benefit from CSSA.</a:t>
          </a:r>
        </a:p>
      </dsp:txBody>
      <dsp:txXfrm>
        <a:off x="6518944" y="1287794"/>
        <a:ext cx="2119362" cy="1027708"/>
      </dsp:txXfrm>
    </dsp:sp>
    <dsp:sp modelId="{2A1CC9AD-41F3-4DCE-84FA-47009ED4C2C2}">
      <dsp:nvSpPr>
        <dsp:cNvPr id="0" name=""/>
        <dsp:cNvSpPr/>
      </dsp:nvSpPr>
      <dsp:spPr>
        <a:xfrm rot="2829178">
          <a:off x="2351569" y="3196068"/>
          <a:ext cx="1284217" cy="35815"/>
        </a:xfrm>
        <a:custGeom>
          <a:avLst/>
          <a:gdLst/>
          <a:ahLst/>
          <a:cxnLst/>
          <a:rect l="0" t="0" r="0" b="0"/>
          <a:pathLst>
            <a:path>
              <a:moveTo>
                <a:pt x="0" y="17907"/>
              </a:moveTo>
              <a:lnTo>
                <a:pt x="1284217" y="179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IE" sz="500" kern="1200"/>
        </a:p>
      </dsp:txBody>
      <dsp:txXfrm>
        <a:off x="2961572" y="3181870"/>
        <a:ext cx="64210" cy="64210"/>
      </dsp:txXfrm>
    </dsp:sp>
    <dsp:sp modelId="{2D158E96-8267-480E-AEE0-D79AC06C7F64}">
      <dsp:nvSpPr>
        <dsp:cNvPr id="0" name=""/>
        <dsp:cNvSpPr/>
      </dsp:nvSpPr>
      <dsp:spPr>
        <a:xfrm>
          <a:off x="3430339" y="3138924"/>
          <a:ext cx="2183308" cy="1091654"/>
        </a:xfrm>
        <a:prstGeom prst="roundRect">
          <a:avLst>
            <a:gd name="adj" fmla="val 10000"/>
          </a:avLst>
        </a:prstGeom>
        <a:solidFill>
          <a:srgbClr val="92D05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IE" sz="700" kern="1200">
              <a:solidFill>
                <a:schemeClr val="tx1"/>
              </a:solidFill>
            </a:rPr>
            <a:t>Draft IALA Guideline [&lt;No x+2&gt;] on a Technical Specification for a CSSA Generic Service Engineering Model</a:t>
          </a:r>
        </a:p>
        <a:p>
          <a:pPr lvl="0" algn="ctr" defTabSz="311150">
            <a:lnSpc>
              <a:spcPct val="90000"/>
            </a:lnSpc>
            <a:spcBef>
              <a:spcPct val="0"/>
            </a:spcBef>
            <a:spcAft>
              <a:spcPct val="35000"/>
            </a:spcAft>
          </a:pPr>
          <a:r>
            <a:rPr lang="en-IE" sz="700" kern="1200">
              <a:solidFill>
                <a:srgbClr val="FF0000"/>
              </a:solidFill>
            </a:rPr>
            <a:t>Technical specification, as a ‘best practice,’  of how IALA members could set up (as national mem-bers) or contribute to such services (as industrial members) within a CSSA</a:t>
          </a:r>
        </a:p>
      </dsp:txBody>
      <dsp:txXfrm>
        <a:off x="3462312" y="3170897"/>
        <a:ext cx="2119362" cy="1027708"/>
      </dsp:txXfrm>
    </dsp:sp>
    <dsp:sp modelId="{C2DFD58E-ADB3-4B23-A7BA-49DAF1E35C12}">
      <dsp:nvSpPr>
        <dsp:cNvPr id="0" name=""/>
        <dsp:cNvSpPr/>
      </dsp:nvSpPr>
      <dsp:spPr>
        <a:xfrm rot="19510003">
          <a:off x="5514508" y="3350810"/>
          <a:ext cx="1106579" cy="35815"/>
        </a:xfrm>
        <a:custGeom>
          <a:avLst/>
          <a:gdLst/>
          <a:ahLst/>
          <a:cxnLst/>
          <a:rect l="0" t="0" r="0" b="0"/>
          <a:pathLst>
            <a:path>
              <a:moveTo>
                <a:pt x="0" y="17907"/>
              </a:moveTo>
              <a:lnTo>
                <a:pt x="1106579" y="1790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IE" sz="500" kern="1200"/>
        </a:p>
      </dsp:txBody>
      <dsp:txXfrm>
        <a:off x="6040133" y="3341053"/>
        <a:ext cx="55328" cy="55328"/>
      </dsp:txXfrm>
    </dsp:sp>
    <dsp:sp modelId="{BEA2D0ED-A81D-4031-981E-13411A776F14}">
      <dsp:nvSpPr>
        <dsp:cNvPr id="0" name=""/>
        <dsp:cNvSpPr/>
      </dsp:nvSpPr>
      <dsp:spPr>
        <a:xfrm>
          <a:off x="6521948" y="2506856"/>
          <a:ext cx="2183308" cy="1091654"/>
        </a:xfrm>
        <a:prstGeom prst="roundRect">
          <a:avLst>
            <a:gd name="adj" fmla="val 10000"/>
          </a:avLst>
        </a:prstGeom>
        <a:solidFill>
          <a:srgbClr val="92D05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IE" sz="700" kern="1200">
              <a:solidFill>
                <a:schemeClr val="tx1"/>
              </a:solidFill>
            </a:rPr>
            <a:t>Selected Appendices</a:t>
          </a:r>
        </a:p>
      </dsp:txBody>
      <dsp:txXfrm>
        <a:off x="6553921" y="2538829"/>
        <a:ext cx="2119362" cy="1027708"/>
      </dsp:txXfrm>
    </dsp:sp>
    <dsp:sp modelId="{DC7EAD21-C86C-4DDF-8EC0-EEB6E7ED93D2}">
      <dsp:nvSpPr>
        <dsp:cNvPr id="0" name=""/>
        <dsp:cNvSpPr/>
      </dsp:nvSpPr>
      <dsp:spPr>
        <a:xfrm rot="2142401">
          <a:off x="5512559" y="3980694"/>
          <a:ext cx="1075501" cy="35815"/>
        </a:xfrm>
        <a:custGeom>
          <a:avLst/>
          <a:gdLst/>
          <a:ahLst/>
          <a:cxnLst/>
          <a:rect l="0" t="0" r="0" b="0"/>
          <a:pathLst>
            <a:path>
              <a:moveTo>
                <a:pt x="0" y="17907"/>
              </a:moveTo>
              <a:lnTo>
                <a:pt x="1075501" y="1790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IE" sz="500" kern="1200"/>
        </a:p>
      </dsp:txBody>
      <dsp:txXfrm>
        <a:off x="6023422" y="3971714"/>
        <a:ext cx="53775" cy="53775"/>
      </dsp:txXfrm>
    </dsp:sp>
    <dsp:sp modelId="{2D8C44CB-133F-4BBC-9407-836A5A48A165}">
      <dsp:nvSpPr>
        <dsp:cNvPr id="0" name=""/>
        <dsp:cNvSpPr/>
      </dsp:nvSpPr>
      <dsp:spPr>
        <a:xfrm>
          <a:off x="6486971" y="3766625"/>
          <a:ext cx="2183308" cy="1091654"/>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IE" sz="700" kern="1200"/>
            <a:t>Selected Appendices</a:t>
          </a:r>
        </a:p>
      </dsp:txBody>
      <dsp:txXfrm>
        <a:off x="6518944" y="3798598"/>
        <a:ext cx="2119362" cy="1027708"/>
      </dsp:txXfrm>
    </dsp:sp>
    <dsp:sp modelId="{897F79A6-2933-455D-B871-9BDE4A773D96}">
      <dsp:nvSpPr>
        <dsp:cNvPr id="0" name=""/>
        <dsp:cNvSpPr/>
      </dsp:nvSpPr>
      <dsp:spPr>
        <a:xfrm rot="4099285">
          <a:off x="1811592" y="3823769"/>
          <a:ext cx="2364170" cy="35815"/>
        </a:xfrm>
        <a:custGeom>
          <a:avLst/>
          <a:gdLst/>
          <a:ahLst/>
          <a:cxnLst/>
          <a:rect l="0" t="0" r="0" b="0"/>
          <a:pathLst>
            <a:path>
              <a:moveTo>
                <a:pt x="0" y="17907"/>
              </a:moveTo>
              <a:lnTo>
                <a:pt x="2364170" y="179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66700">
            <a:lnSpc>
              <a:spcPct val="90000"/>
            </a:lnSpc>
            <a:spcBef>
              <a:spcPct val="0"/>
            </a:spcBef>
            <a:spcAft>
              <a:spcPct val="35000"/>
            </a:spcAft>
          </a:pPr>
          <a:endParaRPr lang="en-IE" sz="600" kern="1200"/>
        </a:p>
      </dsp:txBody>
      <dsp:txXfrm>
        <a:off x="2934573" y="3782572"/>
        <a:ext cx="118208" cy="118208"/>
      </dsp:txXfrm>
    </dsp:sp>
    <dsp:sp modelId="{C12DACE2-23CC-4A8C-A961-436A98EA9F04}">
      <dsp:nvSpPr>
        <dsp:cNvPr id="0" name=""/>
        <dsp:cNvSpPr/>
      </dsp:nvSpPr>
      <dsp:spPr>
        <a:xfrm>
          <a:off x="3430339" y="4394327"/>
          <a:ext cx="2183308" cy="1091654"/>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en-IE" sz="700" kern="1200"/>
            <a:t>Draft IALA Guideline [&lt;No x+3&gt;] on M2M Interfacing within the Common Shore-based Sys-tem (CSS)</a:t>
          </a:r>
        </a:p>
        <a:p>
          <a:pPr lvl="0" algn="ctr" defTabSz="311150">
            <a:lnSpc>
              <a:spcPct val="90000"/>
            </a:lnSpc>
            <a:spcBef>
              <a:spcPct val="0"/>
            </a:spcBef>
            <a:spcAft>
              <a:spcPct val="35000"/>
            </a:spcAft>
          </a:pPr>
          <a:r>
            <a:rPr lang="en-IE" sz="700" kern="1200">
              <a:solidFill>
                <a:srgbClr val="FF0000"/>
              </a:solidFill>
            </a:rPr>
            <a:t>Technical specification, as a ‘best practice,’ of how harmonized M2M interfacing within a CSSA could be done</a:t>
          </a:r>
        </a:p>
      </dsp:txBody>
      <dsp:txXfrm>
        <a:off x="3462312" y="4426300"/>
        <a:ext cx="2119362" cy="102770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CA31-3DF0-463A-8765-9BF9EBE17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e-NAV Committee input paper_Sep11.dotx</Template>
  <TotalTime>10</TotalTime>
  <Pages>6</Pages>
  <Words>1827</Words>
  <Characters>10419</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GDWS ASt. Nord Bezirk</Company>
  <LinksUpToDate>false</LinksUpToDate>
  <CharactersWithSpaces>12222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JHO</dc:creator>
  <cp:lastModifiedBy>Seamus Doyle</cp:lastModifiedBy>
  <cp:revision>5</cp:revision>
  <dcterms:created xsi:type="dcterms:W3CDTF">2015-03-06T08:47:00Z</dcterms:created>
  <dcterms:modified xsi:type="dcterms:W3CDTF">2015-03-12T16:17:00Z</dcterms:modified>
</cp:coreProperties>
</file>